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D4D5C" w:rsidRDefault="0019347B" w:rsidP="00F049AB">
      <w:pPr>
        <w:pStyle w:val="Tytuinfomacjisygnalnej"/>
      </w:pPr>
      <w:r w:rsidRPr="006D4D5C">
        <w:rPr>
          <w:rFonts w:ascii="Fira Sans" w:hAnsi="Fira Sans"/>
          <w:noProof/>
          <w:color w:val="001D77"/>
          <w:sz w:val="19"/>
          <w:szCs w:val="22"/>
          <w:shd w:val="clear" w:color="auto" w:fill="auto"/>
          <w:lang w:eastAsia="pl-PL"/>
        </w:rPr>
        <mc:AlternateContent>
          <mc:Choice Requires="wps">
            <w:drawing>
              <wp:anchor distT="45720" distB="45720" distL="114300" distR="114300" simplePos="0" relativeHeight="251771904" behindDoc="0" locked="0" layoutInCell="1" allowOverlap="1" wp14:anchorId="5887C6B1" wp14:editId="6BDE65D1">
                <wp:simplePos x="0" y="0"/>
                <wp:positionH relativeFrom="margin">
                  <wp:posOffset>0</wp:posOffset>
                </wp:positionH>
                <wp:positionV relativeFrom="page">
                  <wp:posOffset>2352040</wp:posOffset>
                </wp:positionV>
                <wp:extent cx="2292350" cy="1154430"/>
                <wp:effectExtent l="0" t="0" r="0" b="7620"/>
                <wp:wrapSquare wrapText="bothSides"/>
                <wp:docPr id="17" name="Pole tekstowe 2" descr="tyle a ty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154430"/>
                        </a:xfrm>
                        <a:prstGeom prst="roundRect">
                          <a:avLst/>
                        </a:prstGeom>
                        <a:solidFill>
                          <a:srgbClr val="001D77"/>
                        </a:solidFill>
                        <a:ln w="9525">
                          <a:noFill/>
                          <a:miter lim="800000"/>
                          <a:headEnd/>
                          <a:tailEnd/>
                        </a:ln>
                      </wps:spPr>
                      <wps:txbx>
                        <w:txbxContent>
                          <w:p w:rsidR="00E26CA6" w:rsidRPr="003D386A" w:rsidRDefault="00E26CA6" w:rsidP="003D386A">
                            <w:pPr>
                              <w:spacing w:before="0" w:after="0" w:line="240" w:lineRule="auto"/>
                              <w:contextualSpacing/>
                              <w:rPr>
                                <w:rFonts w:ascii="Fira Sans SemiBold" w:hAnsi="Fira Sans SemiBold"/>
                                <w:color w:val="FFFFFF" w:themeColor="background1"/>
                                <w:sz w:val="72"/>
                              </w:rPr>
                            </w:pPr>
                            <w:r>
                              <w:rPr>
                                <w:rFonts w:ascii="Fira Sans SemiBold" w:hAnsi="Fira Sans SemiBold"/>
                                <w:color w:val="66AFDE"/>
                                <w:sz w:val="60"/>
                                <w:szCs w:val="60"/>
                              </w:rPr>
                              <w:sym w:font="Wingdings" w:char="F0F1"/>
                            </w:r>
                            <w:r w:rsidR="00E244D4">
                              <w:rPr>
                                <w:rFonts w:ascii="Fira Sans SemiBold" w:hAnsi="Fira Sans SemiBold"/>
                                <w:color w:val="66AFDE"/>
                                <w:sz w:val="60"/>
                                <w:szCs w:val="60"/>
                              </w:rPr>
                              <w:t xml:space="preserve"> </w:t>
                            </w:r>
                            <w:r w:rsidRPr="00B71C79">
                              <w:rPr>
                                <w:rFonts w:ascii="Fira Sans SemiBold" w:hAnsi="Fira Sans SemiBold"/>
                                <w:color w:val="FFFFFF" w:themeColor="background1"/>
                                <w:sz w:val="60"/>
                                <w:szCs w:val="60"/>
                              </w:rPr>
                              <w:t>1,7%</w:t>
                            </w:r>
                          </w:p>
                          <w:p w:rsidR="00E26CA6" w:rsidRPr="007D605C" w:rsidRDefault="00E26CA6" w:rsidP="00AC025E">
                            <w:pPr>
                              <w:pStyle w:val="Opiswskanika"/>
                              <w:spacing w:before="120"/>
                              <w:rPr>
                                <w:sz w:val="18"/>
                                <w:szCs w:val="20"/>
                              </w:rPr>
                            </w:pPr>
                            <w:r>
                              <w:t>Wzrost liczby ludności w porównaniu z wynikami NSP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887C6B1" id="Pole tekstowe 2" o:spid="_x0000_s1026" alt="tyle a tyle..." style="position:absolute;margin-left:0;margin-top:185.2pt;width:180.5pt;height:90.9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" fillcolor="#001d77" stroked="f">
                <v:stroke joinstyle="miter"/>
                <v:textbox>
                  <w:txbxContent>
                    <w:p w:rsidR="00E26CA6" w:rsidRPr="003D386A" w:rsidRDefault="00E26CA6" w:rsidP="003D386A">
                      <w:pPr>
                        <w:spacing w:before="0" w:after="0" w:line="240" w:lineRule="auto"/>
                        <w:contextualSpacing/>
                        <w:rPr>
                          <w:rFonts w:ascii="Fira Sans SemiBold" w:hAnsi="Fira Sans SemiBold"/>
                          <w:color w:val="FFFFFF" w:themeColor="background1"/>
                          <w:sz w:val="72"/>
                        </w:rPr>
                      </w:pPr>
                      <w:r>
                        <w:rPr>
                          <w:rFonts w:ascii="Fira Sans SemiBold" w:hAnsi="Fira Sans SemiBold"/>
                          <w:color w:val="66AFDE"/>
                          <w:sz w:val="60"/>
                          <w:szCs w:val="60"/>
                        </w:rPr>
                        <w:sym w:font="Wingdings" w:char="F0F1"/>
                      </w:r>
                      <w:r w:rsidR="00E244D4">
                        <w:rPr>
                          <w:rFonts w:ascii="Fira Sans SemiBold" w:hAnsi="Fira Sans SemiBold"/>
                          <w:color w:val="66AFDE"/>
                          <w:sz w:val="60"/>
                          <w:szCs w:val="60"/>
                        </w:rPr>
                        <w:t xml:space="preserve"> </w:t>
                      </w:r>
                      <w:r w:rsidRPr="00B71C79">
                        <w:rPr>
                          <w:rFonts w:ascii="Fira Sans SemiBold" w:hAnsi="Fira Sans SemiBold"/>
                          <w:color w:val="FFFFFF" w:themeColor="background1"/>
                          <w:sz w:val="60"/>
                          <w:szCs w:val="60"/>
                        </w:rPr>
                        <w:t>1,7%</w:t>
                      </w:r>
                    </w:p>
                    <w:p w:rsidR="00E26CA6" w:rsidRPr="007D605C" w:rsidRDefault="00E26CA6" w:rsidP="00AC025E">
                      <w:pPr>
                        <w:pStyle w:val="Opiswskanika"/>
                        <w:spacing w:before="120"/>
                        <w:rPr>
                          <w:sz w:val="18"/>
                          <w:szCs w:val="20"/>
                        </w:rPr>
                      </w:pPr>
                      <w:r>
                        <w:t>Wzrost liczby ludności w porównaniu z wynikami NSP 2011</w:t>
                      </w:r>
                    </w:p>
                  </w:txbxContent>
                </v:textbox>
                <w10:wrap type="square" anchorx="margin" anchory="page"/>
              </v:roundrect>
            </w:pict>
          </mc:Fallback>
        </mc:AlternateContent>
      </w:r>
      <w:r w:rsidRPr="00587CEE">
        <w:rPr>
          <w:noProof/>
          <w:color w:val="001D77"/>
          <w:lang w:eastAsia="pl-PL"/>
        </w:rPr>
        <mc:AlternateContent>
          <mc:Choice Requires="wps">
            <w:drawing>
              <wp:anchor distT="45720" distB="45720" distL="114300" distR="114300" simplePos="0" relativeHeight="251767808" behindDoc="0" locked="0" layoutInCell="1" allowOverlap="1" wp14:anchorId="35664452" wp14:editId="2F57DB60">
                <wp:simplePos x="0" y="0"/>
                <wp:positionH relativeFrom="margin">
                  <wp:posOffset>2428875</wp:posOffset>
                </wp:positionH>
                <wp:positionV relativeFrom="paragraph">
                  <wp:posOffset>1288192</wp:posOffset>
                </wp:positionV>
                <wp:extent cx="2271395" cy="1154430"/>
                <wp:effectExtent l="0" t="0" r="0" b="7620"/>
                <wp:wrapSquare wrapText="bothSides"/>
                <wp:docPr id="6" name="Pole tekstowe 2" descr="tyle a ty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1154430"/>
                        </a:xfrm>
                        <a:prstGeom prst="roundRect">
                          <a:avLst/>
                        </a:prstGeom>
                        <a:solidFill>
                          <a:srgbClr val="001D77"/>
                        </a:solidFill>
                        <a:ln w="9525">
                          <a:noFill/>
                          <a:miter lim="800000"/>
                          <a:headEnd/>
                          <a:tailEnd/>
                        </a:ln>
                      </wps:spPr>
                      <wps:txbx>
                        <w:txbxContent>
                          <w:p w:rsidR="00E26CA6" w:rsidRPr="00DE3CDE" w:rsidRDefault="00E26CA6" w:rsidP="003D386A">
                            <w:pPr>
                              <w:pStyle w:val="Ikonawskanika"/>
                              <w:rPr>
                                <w:color w:val="FFFFFF" w:themeColor="background1"/>
                              </w:rPr>
                            </w:pPr>
                            <w:r w:rsidRPr="00DD197E">
                              <w:sym w:font="Wingdings" w:char="F0F1"/>
                            </w:r>
                            <w:r>
                              <w:t xml:space="preserve"> </w:t>
                            </w:r>
                            <w:r w:rsidR="00B71C79" w:rsidRPr="00DE3CDE">
                              <w:rPr>
                                <w:rStyle w:val="WartowskanikaZnak"/>
                                <w:sz w:val="60"/>
                                <w:szCs w:val="60"/>
                              </w:rPr>
                              <w:t>17,7%</w:t>
                            </w:r>
                          </w:p>
                          <w:p w:rsidR="00E26CA6" w:rsidRPr="007D605C" w:rsidRDefault="00E26CA6" w:rsidP="00AC025E">
                            <w:pPr>
                              <w:pStyle w:val="Opiswskanika"/>
                              <w:spacing w:before="120"/>
                              <w:rPr>
                                <w:sz w:val="18"/>
                                <w:szCs w:val="20"/>
                              </w:rPr>
                            </w:pPr>
                            <w:r>
                              <w:t xml:space="preserve">Wzrost liczby mieszkań </w:t>
                            </w:r>
                            <w:r w:rsidRPr="00567763">
                              <w:t xml:space="preserve">w porównaniu z </w:t>
                            </w:r>
                            <w:r>
                              <w:t xml:space="preserve">wynikami </w:t>
                            </w:r>
                            <w:r w:rsidRPr="00567763">
                              <w:t>NSP 201</w:t>
                            </w: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664452" id="_x0000_s1027" alt="tyle a tyle..." style="position:absolute;margin-left:191.25pt;margin-top:101.45pt;width:178.85pt;height:90.9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" fillcolor="#001d77" stroked="f">
                <v:stroke joinstyle="miter"/>
                <v:textbox>
                  <w:txbxContent>
                    <w:p w:rsidR="00E26CA6" w:rsidRPr="00DE3CDE" w:rsidRDefault="00E26CA6" w:rsidP="003D386A">
                      <w:pPr>
                        <w:pStyle w:val="Ikonawskanika"/>
                        <w:rPr>
                          <w:color w:val="FFFFFF" w:themeColor="background1"/>
                        </w:rPr>
                      </w:pPr>
                      <w:r w:rsidRPr="00DD197E">
                        <w:sym w:font="Wingdings" w:char="F0F1"/>
                      </w:r>
                      <w:r>
                        <w:t xml:space="preserve"> </w:t>
                      </w:r>
                      <w:r w:rsidR="00B71C79" w:rsidRPr="00DE3CDE">
                        <w:rPr>
                          <w:rStyle w:val="WartowskanikaZnak"/>
                          <w:sz w:val="60"/>
                          <w:szCs w:val="60"/>
                        </w:rPr>
                        <w:t>17,7%</w:t>
                      </w:r>
                    </w:p>
                    <w:p w:rsidR="00E26CA6" w:rsidRPr="007D605C" w:rsidRDefault="00E26CA6" w:rsidP="00AC025E">
                      <w:pPr>
                        <w:pStyle w:val="Opiswskanika"/>
                        <w:spacing w:before="120"/>
                        <w:rPr>
                          <w:sz w:val="18"/>
                          <w:szCs w:val="20"/>
                        </w:rPr>
                      </w:pPr>
                      <w:r>
                        <w:t xml:space="preserve">Wzrost liczby mieszkań </w:t>
                      </w:r>
                      <w:r w:rsidRPr="00567763">
                        <w:t xml:space="preserve">w porównaniu z </w:t>
                      </w:r>
                      <w:r>
                        <w:t xml:space="preserve">wynikami </w:t>
                      </w:r>
                      <w:r w:rsidRPr="00567763">
                        <w:t>NSP 201</w:t>
                      </w:r>
                      <w:r>
                        <w:t>1</w:t>
                      </w:r>
                    </w:p>
                  </w:txbxContent>
                </v:textbox>
                <w10:wrap type="square" anchorx="margin"/>
              </v:roundrect>
            </w:pict>
          </mc:Fallback>
        </mc:AlternateContent>
      </w:r>
      <w:r w:rsidR="006D4D5C" w:rsidRPr="0008672C">
        <w:t>Stan i struktura demograficzna ludności oraz liczba budynków i mieszkań w województwie</w:t>
      </w:r>
      <w:r w:rsidR="001B7D71">
        <w:t xml:space="preserve"> wielkopolskim</w:t>
      </w:r>
      <w:r w:rsidR="006D4D5C" w:rsidRPr="0008672C">
        <w:t xml:space="preserve"> – wyniki ostateczne NSP 2021</w:t>
      </w:r>
    </w:p>
    <w:p w:rsidR="00393761" w:rsidRPr="007D605C" w:rsidRDefault="00393761" w:rsidP="00F049AB">
      <w:pPr>
        <w:pStyle w:val="Tytuinfomacjisygnalnej"/>
      </w:pPr>
    </w:p>
    <w:p w:rsidR="006D4D5C" w:rsidRDefault="006D4D5C" w:rsidP="00F049AB">
      <w:pPr>
        <w:pStyle w:val="Lead"/>
        <w:rPr>
          <w:rFonts w:eastAsia="Fira Sans" w:cs="Fira Sans"/>
          <w:b w:val="0"/>
          <w:i/>
          <w:color w:val="7F7F7F" w:themeColor="text1" w:themeTint="80"/>
        </w:rPr>
      </w:pPr>
    </w:p>
    <w:p w:rsidR="00E221E0" w:rsidRDefault="006D4D5C" w:rsidP="000D5D87">
      <w:pPr>
        <w:pStyle w:val="Lead"/>
        <w:spacing w:after="0"/>
      </w:pPr>
      <w:r w:rsidRPr="000D5D87">
        <w:t>W</w:t>
      </w:r>
      <w:r w:rsidR="003508CA">
        <w:t>edłu</w:t>
      </w:r>
      <w:r w:rsidRPr="000D5D87">
        <w:t xml:space="preserve">g ostatecznych wyników Narodowego Spisu Powszechnego </w:t>
      </w:r>
      <w:r w:rsidR="003508CA">
        <w:t xml:space="preserve">Ludności i Mieszkań </w:t>
      </w:r>
      <w:r w:rsidRPr="000D5D87">
        <w:t xml:space="preserve">2021 </w:t>
      </w:r>
      <w:r w:rsidR="001B7D71">
        <w:t>p</w:t>
      </w:r>
      <w:r w:rsidR="00E221E0">
        <w:t xml:space="preserve">opulacja w województwie </w:t>
      </w:r>
      <w:r w:rsidR="001B7D71">
        <w:t>wielkopolskim</w:t>
      </w:r>
      <w:r w:rsidR="00E221E0">
        <w:t xml:space="preserve"> liczyła </w:t>
      </w:r>
      <w:r w:rsidR="001B7D71">
        <w:t>3504,6</w:t>
      </w:r>
      <w:r w:rsidR="00E221E0">
        <w:t xml:space="preserve"> tys. osób. </w:t>
      </w:r>
      <w:r w:rsidR="00347DFA">
        <w:t>W porównaniu z wynikami spisu z 2011 r. l</w:t>
      </w:r>
      <w:r w:rsidR="00E221E0">
        <w:t xml:space="preserve">iczba ludności </w:t>
      </w:r>
      <w:r w:rsidR="00347DFA">
        <w:t xml:space="preserve">zwiększyła się tu </w:t>
      </w:r>
      <w:r w:rsidR="00E221E0">
        <w:t xml:space="preserve">o </w:t>
      </w:r>
      <w:r w:rsidR="00347DFA">
        <w:t>1,7%.</w:t>
      </w:r>
      <w:r w:rsidR="00E221E0">
        <w:t xml:space="preserve"> </w:t>
      </w:r>
      <w:r w:rsidR="00B71C79">
        <w:t>Na terenie województwa zlokalizo</w:t>
      </w:r>
      <w:r w:rsidR="007B1B81">
        <w:t>-</w:t>
      </w:r>
      <w:r w:rsidR="00B71C79">
        <w:t xml:space="preserve">wanych było </w:t>
      </w:r>
      <w:r w:rsidR="00B71C79" w:rsidRPr="005214D4">
        <w:t>1311,6</w:t>
      </w:r>
      <w:r w:rsidR="00B71C79">
        <w:t xml:space="preserve"> </w:t>
      </w:r>
      <w:r w:rsidR="00B71C79" w:rsidRPr="00B354DE">
        <w:t xml:space="preserve">tys. </w:t>
      </w:r>
      <w:r w:rsidR="00B71C79">
        <w:t>mieszkań, tj. o </w:t>
      </w:r>
      <w:r w:rsidR="00B71C79" w:rsidRPr="00B354DE">
        <w:t>1</w:t>
      </w:r>
      <w:r w:rsidR="00B71C79">
        <w:t>7</w:t>
      </w:r>
      <w:r w:rsidR="00B71C79" w:rsidRPr="00B354DE">
        <w:t xml:space="preserve">,7% </w:t>
      </w:r>
      <w:r w:rsidR="00B71C79">
        <w:t>więcej w porównaniu ze spisem z 2011 r.</w:t>
      </w:r>
    </w:p>
    <w:p w:rsidR="00E95B8E" w:rsidRDefault="000679CD" w:rsidP="00E95B8E">
      <w:pPr>
        <w:pStyle w:val="Nagwek1"/>
        <w:rPr>
          <w:rFonts w:ascii="Fira Sans" w:hAnsi="Fira Sans"/>
          <w:b/>
          <w:szCs w:val="19"/>
        </w:rPr>
      </w:pPr>
      <w:r w:rsidRPr="00823593">
        <w:rPr>
          <w:b/>
          <w:noProof/>
          <w:spacing w:val="-2"/>
          <w:szCs w:val="19"/>
        </w:rPr>
        <mc:AlternateContent>
          <mc:Choice Requires="wps">
            <w:drawing>
              <wp:anchor distT="45720" distB="45720" distL="114300" distR="114300" simplePos="0" relativeHeight="251750400" behindDoc="1" locked="0" layoutInCell="1" allowOverlap="1" wp14:anchorId="4DF4E3E2" wp14:editId="46D730BD">
                <wp:simplePos x="0" y="0"/>
                <wp:positionH relativeFrom="column">
                  <wp:posOffset>5223510</wp:posOffset>
                </wp:positionH>
                <wp:positionV relativeFrom="page">
                  <wp:posOffset>4897120</wp:posOffset>
                </wp:positionV>
                <wp:extent cx="1799590" cy="636270"/>
                <wp:effectExtent l="0" t="0" r="0" b="0"/>
                <wp:wrapTight wrapText="bothSides">
                  <wp:wrapPolygon edited="0">
                    <wp:start x="686" y="0"/>
                    <wp:lineTo x="686" y="20695"/>
                    <wp:lineTo x="20807" y="20695"/>
                    <wp:lineTo x="20807" y="0"/>
                    <wp:lineTo x="686" y="0"/>
                  </wp:wrapPolygon>
                </wp:wrapTight>
                <wp:docPr id="13" name="Pole tekstowe 13"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636270"/>
                        </a:xfrm>
                        <a:prstGeom prst="rect">
                          <a:avLst/>
                        </a:prstGeom>
                        <a:noFill/>
                        <a:ln w="9525">
                          <a:noFill/>
                          <a:miter lim="800000"/>
                          <a:headEnd/>
                          <a:tailEnd/>
                        </a:ln>
                      </wps:spPr>
                      <wps:txbx>
                        <w:txbxContent>
                          <w:p w:rsidR="00E26CA6" w:rsidRPr="00E95B8E" w:rsidRDefault="00E26CA6" w:rsidP="00935D17">
                            <w:pPr>
                              <w:pStyle w:val="tekstzboku"/>
                              <w:spacing w:before="0"/>
                              <w:rPr>
                                <w:bCs w:val="0"/>
                              </w:rPr>
                            </w:pPr>
                            <w:r>
                              <w:t xml:space="preserve">Liczba ludności województwa </w:t>
                            </w:r>
                            <w:r w:rsidRPr="00E676F7">
                              <w:t>w ciągu dekady</w:t>
                            </w:r>
                            <w:r>
                              <w:t xml:space="preserve"> zwiększyła się o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4E3E2" id="_x0000_t202" coordsize="21600,21600" o:spt="202" path="m,l,21600r21600,l21600,xe">
                <v:stroke joinstyle="miter"/>
                <v:path gradientshapeok="t" o:connecttype="rect"/>
              </v:shapetype>
              <v:shape id="Pole tekstowe 13" o:spid="_x0000_s1028" type="#_x0000_t202" alt="Lorem ipsum dolor sit amet, consectetur adipiscing elit" style="position:absolute;margin-left:411.3pt;margin-top:385.6pt;width:141.7pt;height:50.1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" filled="f" stroked="f">
                <v:textbox>
                  <w:txbxContent>
                    <w:p w:rsidR="00E26CA6" w:rsidRPr="00E95B8E" w:rsidRDefault="00E26CA6" w:rsidP="00935D17">
                      <w:pPr>
                        <w:pStyle w:val="tekstzboku"/>
                        <w:spacing w:before="0"/>
                        <w:rPr>
                          <w:bCs w:val="0"/>
                        </w:rPr>
                      </w:pPr>
                      <w:r>
                        <w:t xml:space="preserve">Liczba ludności województwa </w:t>
                      </w:r>
                      <w:r w:rsidRPr="00E676F7">
                        <w:t>w ciągu dekady</w:t>
                      </w:r>
                      <w:r>
                        <w:t xml:space="preserve"> zwiększyła się o 1,7%</w:t>
                      </w:r>
                    </w:p>
                  </w:txbxContent>
                </v:textbox>
                <w10:wrap type="tight" anchory="page"/>
              </v:shape>
            </w:pict>
          </mc:Fallback>
        </mc:AlternateContent>
      </w:r>
      <w:r w:rsidR="004A6296">
        <w:rPr>
          <w:rFonts w:ascii="Fira Sans" w:hAnsi="Fira Sans"/>
          <w:b/>
          <w:szCs w:val="19"/>
        </w:rPr>
        <w:t xml:space="preserve">Stan i struktura demograficzna ludności </w:t>
      </w:r>
    </w:p>
    <w:p w:rsidR="003532B4" w:rsidRDefault="007A2D31" w:rsidP="00632DE7">
      <w:pPr>
        <w:rPr>
          <w:shd w:val="clear" w:color="auto" w:fill="FFFFFF"/>
        </w:rPr>
      </w:pPr>
      <w:bookmarkStart w:id="1" w:name="_Hlk110936620"/>
      <w:r>
        <w:rPr>
          <w:shd w:val="clear" w:color="auto" w:fill="FFFFFF"/>
        </w:rPr>
        <w:t>Zgodnie z wynikami Narodowego Spisu Powszechnego Ludności i Mieszkań</w:t>
      </w:r>
      <w:r w:rsidRPr="007A2D31">
        <w:rPr>
          <w:shd w:val="clear" w:color="auto" w:fill="FFFFFF"/>
        </w:rPr>
        <w:t xml:space="preserve"> </w:t>
      </w:r>
      <w:r>
        <w:rPr>
          <w:shd w:val="clear" w:color="auto" w:fill="FFFFFF"/>
        </w:rPr>
        <w:t xml:space="preserve">liczba ludności </w:t>
      </w:r>
      <w:r w:rsidR="000A6803">
        <w:t>w </w:t>
      </w:r>
      <w:r>
        <w:t>województwie wielkopolskim</w:t>
      </w:r>
      <w:r>
        <w:rPr>
          <w:shd w:val="clear" w:color="auto" w:fill="FFFFFF"/>
        </w:rPr>
        <w:t xml:space="preserve">, według stanu na 31 marca 2021 r., </w:t>
      </w:r>
      <w:r>
        <w:t>wynosiła 3504,6 tys. osób</w:t>
      </w:r>
      <w:r w:rsidR="00C617F9">
        <w:t xml:space="preserve">, co </w:t>
      </w:r>
      <w:r w:rsidR="00C617F9" w:rsidRPr="007A1A5D">
        <w:t xml:space="preserve">w skali kraju stanowiło </w:t>
      </w:r>
      <w:r w:rsidR="007A1A5D" w:rsidRPr="007A1A5D">
        <w:t>9,2</w:t>
      </w:r>
      <w:r w:rsidR="00C617F9" w:rsidRPr="007A1A5D">
        <w:t xml:space="preserve">%. </w:t>
      </w:r>
      <w:r w:rsidR="00C617F9">
        <w:t>W ciągu dekady</w:t>
      </w:r>
      <w:r>
        <w:rPr>
          <w:shd w:val="clear" w:color="auto" w:fill="FFFFFF"/>
        </w:rPr>
        <w:t xml:space="preserve"> </w:t>
      </w:r>
      <w:r w:rsidR="00C617F9">
        <w:rPr>
          <w:shd w:val="clear" w:color="auto" w:fill="FFFFFF"/>
        </w:rPr>
        <w:t xml:space="preserve">liczba ta zwiększyła się o 57,1 tys., tj. o 1,7%, przy czym wzrost populacji dotyczył przede wszystkim obszarów wiejskich. W porównaniu </w:t>
      </w:r>
      <w:r w:rsidR="007A1A5D">
        <w:rPr>
          <w:shd w:val="clear" w:color="auto" w:fill="FFFFFF"/>
        </w:rPr>
        <w:t>z </w:t>
      </w:r>
      <w:r w:rsidR="00632DE7">
        <w:rPr>
          <w:shd w:val="clear" w:color="auto" w:fill="FFFFFF"/>
        </w:rPr>
        <w:t>wynikami NSP 2011</w:t>
      </w:r>
      <w:r w:rsidR="00C617F9">
        <w:rPr>
          <w:shd w:val="clear" w:color="auto" w:fill="FFFFFF"/>
        </w:rPr>
        <w:t xml:space="preserve"> na wsi przybyło </w:t>
      </w:r>
      <w:r w:rsidR="00702326">
        <w:rPr>
          <w:shd w:val="clear" w:color="auto" w:fill="FFFFFF"/>
        </w:rPr>
        <w:t xml:space="preserve">98,1 tys. </w:t>
      </w:r>
      <w:r w:rsidR="007A1A5D">
        <w:rPr>
          <w:shd w:val="clear" w:color="auto" w:fill="FFFFFF"/>
        </w:rPr>
        <w:t xml:space="preserve">mieszkańców </w:t>
      </w:r>
      <w:r w:rsidR="00702326">
        <w:rPr>
          <w:shd w:val="clear" w:color="auto" w:fill="FFFFFF"/>
        </w:rPr>
        <w:t>(</w:t>
      </w:r>
      <w:r w:rsidR="00702326" w:rsidRPr="00CD2324">
        <w:rPr>
          <w:shd w:val="clear" w:color="auto" w:fill="FFFFFF"/>
        </w:rPr>
        <w:t xml:space="preserve">wzrost o 6,4%), podczas gdy </w:t>
      </w:r>
      <w:r w:rsidR="00D64A27">
        <w:rPr>
          <w:shd w:val="clear" w:color="auto" w:fill="FFFFFF"/>
        </w:rPr>
        <w:t>w </w:t>
      </w:r>
      <w:r w:rsidR="00702326" w:rsidRPr="00CD2324">
        <w:rPr>
          <w:shd w:val="clear" w:color="auto" w:fill="FFFFFF"/>
        </w:rPr>
        <w:t xml:space="preserve">miastach </w:t>
      </w:r>
      <w:r w:rsidR="007A1A5D" w:rsidRPr="00CD2324">
        <w:rPr>
          <w:shd w:val="clear" w:color="auto" w:fill="FFFFFF"/>
        </w:rPr>
        <w:t>stan ludności zmniejszył się o</w:t>
      </w:r>
      <w:r w:rsidR="00702326" w:rsidRPr="00CD2324">
        <w:rPr>
          <w:shd w:val="clear" w:color="auto" w:fill="FFFFFF"/>
        </w:rPr>
        <w:t xml:space="preserve"> 40,9 tys.</w:t>
      </w:r>
      <w:r w:rsidR="007A1A5D" w:rsidRPr="00CD2324">
        <w:t xml:space="preserve"> osób</w:t>
      </w:r>
      <w:r w:rsidR="00702326" w:rsidRPr="00CD2324">
        <w:rPr>
          <w:shd w:val="clear" w:color="auto" w:fill="FFFFFF"/>
        </w:rPr>
        <w:t xml:space="preserve"> (spadek o 2,1%).</w:t>
      </w:r>
      <w:r w:rsidR="007A1A5D" w:rsidRPr="00CD2324">
        <w:rPr>
          <w:shd w:val="clear" w:color="auto" w:fill="FFFFFF"/>
        </w:rPr>
        <w:t xml:space="preserve"> </w:t>
      </w:r>
    </w:p>
    <w:p w:rsidR="006D0F72" w:rsidRPr="00081794" w:rsidRDefault="006D0F72" w:rsidP="00081794">
      <w:pPr>
        <w:pStyle w:val="Tytutablicy"/>
        <w:rPr>
          <w:rFonts w:eastAsia="Fira Sans"/>
        </w:rPr>
      </w:pPr>
      <w:bookmarkStart w:id="2" w:name="_Hlk110936762"/>
      <w:bookmarkEnd w:id="1"/>
      <w:r w:rsidRPr="006D0F72">
        <w:rPr>
          <w:shd w:val="clear" w:color="auto" w:fill="FFFFFF"/>
        </w:rPr>
        <w:t>Tablica</w:t>
      </w:r>
      <w:r w:rsidR="00130A37">
        <w:rPr>
          <w:shd w:val="clear" w:color="auto" w:fill="FFFFFF"/>
        </w:rPr>
        <w:t xml:space="preserve"> 1.</w:t>
      </w:r>
      <w:r w:rsidRPr="006D0F72">
        <w:rPr>
          <w:shd w:val="clear" w:color="auto" w:fill="FFFFFF"/>
        </w:rPr>
        <w:t xml:space="preserve"> </w:t>
      </w:r>
      <w:r w:rsidRPr="000A6803">
        <w:rPr>
          <w:shd w:val="clear" w:color="auto" w:fill="FFFFFF"/>
        </w:rPr>
        <w:t xml:space="preserve">Ludność </w:t>
      </w:r>
      <w:r w:rsidR="00A75E90" w:rsidRPr="000A6803">
        <w:rPr>
          <w:shd w:val="clear" w:color="auto" w:fill="FFFFFF"/>
        </w:rPr>
        <w:t>w miastach i na wsi</w:t>
      </w:r>
      <w:r w:rsidRPr="000A6803">
        <w:rPr>
          <w:shd w:val="clear" w:color="auto" w:fill="FFFFFF"/>
        </w:rPr>
        <w:t xml:space="preserve"> </w:t>
      </w:r>
      <w:r w:rsidR="00103AEC" w:rsidRPr="000A6803">
        <w:rPr>
          <w:shd w:val="clear" w:color="auto" w:fill="FFFFFF"/>
        </w:rPr>
        <w:br/>
      </w:r>
      <w:r w:rsidR="005C56B0" w:rsidRPr="000A6803">
        <w:rPr>
          <w:shd w:val="clear" w:color="auto" w:fill="FFFFFF"/>
        </w:rPr>
        <w:tab/>
      </w:r>
      <w:r w:rsidR="00081794">
        <w:rPr>
          <w:shd w:val="clear" w:color="auto" w:fill="FFFFFF"/>
        </w:rPr>
        <w:t xml:space="preserve">   </w:t>
      </w:r>
      <w:r w:rsidR="00103AEC" w:rsidRPr="000A6803">
        <w:rPr>
          <w:b w:val="0"/>
          <w:shd w:val="clear" w:color="auto" w:fill="FFFFFF"/>
        </w:rPr>
        <w:t>S</w:t>
      </w:r>
      <w:r w:rsidRPr="000A6803">
        <w:rPr>
          <w:b w:val="0"/>
          <w:shd w:val="clear" w:color="auto" w:fill="FFFFFF"/>
        </w:rPr>
        <w:t>tan w dniu 31 marca</w:t>
      </w:r>
    </w:p>
    <w:tbl>
      <w:tblPr>
        <w:tblW w:w="7933" w:type="dxa"/>
        <w:tblBorders>
          <w:top w:val="single" w:sz="4" w:space="0" w:color="001D77"/>
          <w:insideH w:val="single" w:sz="4" w:space="0" w:color="001D77"/>
          <w:insideV w:val="single" w:sz="4" w:space="0" w:color="001D77"/>
        </w:tblBorders>
        <w:tblLayout w:type="fixed"/>
        <w:tblCellMar>
          <w:left w:w="70" w:type="dxa"/>
          <w:right w:w="70" w:type="dxa"/>
        </w:tblCellMar>
        <w:tblLook w:val="0420" w:firstRow="1" w:lastRow="0" w:firstColumn="0" w:lastColumn="0" w:noHBand="0" w:noVBand="1"/>
        <w:tblCaption w:val="accessible"/>
      </w:tblPr>
      <w:tblGrid>
        <w:gridCol w:w="2268"/>
        <w:gridCol w:w="1133"/>
        <w:gridCol w:w="1133"/>
        <w:gridCol w:w="1133"/>
        <w:gridCol w:w="1133"/>
        <w:gridCol w:w="1133"/>
      </w:tblGrid>
      <w:tr w:rsidR="006D0F72" w:rsidRPr="006D0F72" w:rsidTr="000A5604">
        <w:trPr>
          <w:trHeight w:val="300"/>
        </w:trPr>
        <w:tc>
          <w:tcPr>
            <w:tcW w:w="2268" w:type="dxa"/>
            <w:vMerge w:val="restart"/>
            <w:shd w:val="clear" w:color="auto" w:fill="auto"/>
            <w:noWrap/>
            <w:vAlign w:val="center"/>
            <w:hideMark/>
          </w:tcPr>
          <w:p w:rsidR="006D0F72" w:rsidRPr="006D0F72" w:rsidRDefault="006D0F72" w:rsidP="00130A37">
            <w:pPr>
              <w:pStyle w:val="Tablicagwkarodek"/>
            </w:pPr>
            <w:r w:rsidRPr="006D0F72">
              <w:t>Wyszczególnienie</w:t>
            </w:r>
          </w:p>
        </w:tc>
        <w:tc>
          <w:tcPr>
            <w:tcW w:w="2266" w:type="dxa"/>
            <w:gridSpan w:val="2"/>
            <w:shd w:val="clear" w:color="auto" w:fill="auto"/>
            <w:noWrap/>
            <w:vAlign w:val="bottom"/>
            <w:hideMark/>
          </w:tcPr>
          <w:p w:rsidR="006D0F72" w:rsidRPr="006D0F72" w:rsidRDefault="006D0F72" w:rsidP="00130A37">
            <w:pPr>
              <w:pStyle w:val="Tablicagwkarodek"/>
            </w:pPr>
            <w:r w:rsidRPr="006D0F72">
              <w:t>2011</w:t>
            </w:r>
          </w:p>
        </w:tc>
        <w:tc>
          <w:tcPr>
            <w:tcW w:w="3399" w:type="dxa"/>
            <w:gridSpan w:val="3"/>
            <w:shd w:val="clear" w:color="auto" w:fill="auto"/>
            <w:noWrap/>
            <w:vAlign w:val="bottom"/>
            <w:hideMark/>
          </w:tcPr>
          <w:p w:rsidR="006D0F72" w:rsidRPr="006D0F72" w:rsidRDefault="006D0F72" w:rsidP="00130A37">
            <w:pPr>
              <w:pStyle w:val="Tablicagwkarodek"/>
            </w:pPr>
            <w:r w:rsidRPr="006D0F72">
              <w:t>2021</w:t>
            </w:r>
          </w:p>
        </w:tc>
      </w:tr>
      <w:tr w:rsidR="006D0F72" w:rsidRPr="006D0F72" w:rsidTr="000A5604">
        <w:trPr>
          <w:trHeight w:val="300"/>
        </w:trPr>
        <w:tc>
          <w:tcPr>
            <w:tcW w:w="2268" w:type="dxa"/>
            <w:vMerge/>
            <w:vAlign w:val="center"/>
            <w:hideMark/>
          </w:tcPr>
          <w:p w:rsidR="006D0F72" w:rsidRPr="006D0F72" w:rsidRDefault="006D0F72" w:rsidP="006D0F72">
            <w:pPr>
              <w:spacing w:before="0" w:after="0" w:line="240" w:lineRule="auto"/>
              <w:rPr>
                <w:rFonts w:eastAsia="Times New Roman" w:cs="Calibri"/>
                <w:color w:val="000000"/>
                <w:szCs w:val="19"/>
                <w:lang w:eastAsia="pl-PL"/>
              </w:rPr>
            </w:pPr>
          </w:p>
        </w:tc>
        <w:tc>
          <w:tcPr>
            <w:tcW w:w="1133" w:type="dxa"/>
            <w:shd w:val="clear" w:color="auto" w:fill="auto"/>
            <w:noWrap/>
            <w:vAlign w:val="bottom"/>
            <w:hideMark/>
          </w:tcPr>
          <w:p w:rsidR="006D0F72" w:rsidRPr="006D0F72" w:rsidRDefault="006D0F72" w:rsidP="00130A37">
            <w:pPr>
              <w:pStyle w:val="Tablicagwkarodek"/>
            </w:pPr>
            <w:r w:rsidRPr="006D0F72">
              <w:t>w tys.</w:t>
            </w:r>
          </w:p>
        </w:tc>
        <w:tc>
          <w:tcPr>
            <w:tcW w:w="1133" w:type="dxa"/>
            <w:shd w:val="clear" w:color="auto" w:fill="auto"/>
            <w:noWrap/>
            <w:vAlign w:val="bottom"/>
            <w:hideMark/>
          </w:tcPr>
          <w:p w:rsidR="006D0F72" w:rsidRPr="006D0F72" w:rsidRDefault="006D0F72" w:rsidP="00130A37">
            <w:pPr>
              <w:pStyle w:val="Tablicagwkarodek"/>
            </w:pPr>
            <w:r w:rsidRPr="006D0F72">
              <w:t>w %</w:t>
            </w:r>
          </w:p>
        </w:tc>
        <w:tc>
          <w:tcPr>
            <w:tcW w:w="1133" w:type="dxa"/>
            <w:shd w:val="clear" w:color="auto" w:fill="auto"/>
            <w:noWrap/>
            <w:vAlign w:val="bottom"/>
            <w:hideMark/>
          </w:tcPr>
          <w:p w:rsidR="006D0F72" w:rsidRPr="006D0F72" w:rsidRDefault="006D0F72" w:rsidP="00130A37">
            <w:pPr>
              <w:pStyle w:val="Tablicagwkarodek"/>
            </w:pPr>
            <w:r w:rsidRPr="006D0F72">
              <w:t>w tys.</w:t>
            </w:r>
          </w:p>
        </w:tc>
        <w:tc>
          <w:tcPr>
            <w:tcW w:w="1133" w:type="dxa"/>
            <w:shd w:val="clear" w:color="auto" w:fill="auto"/>
            <w:noWrap/>
            <w:vAlign w:val="bottom"/>
            <w:hideMark/>
          </w:tcPr>
          <w:p w:rsidR="006D0F72" w:rsidRPr="006D0F72" w:rsidRDefault="006D0F72" w:rsidP="00130A37">
            <w:pPr>
              <w:pStyle w:val="Tablicagwkarodek"/>
            </w:pPr>
            <w:r w:rsidRPr="006D0F72">
              <w:t>w %</w:t>
            </w:r>
          </w:p>
        </w:tc>
        <w:tc>
          <w:tcPr>
            <w:tcW w:w="1133" w:type="dxa"/>
            <w:shd w:val="clear" w:color="auto" w:fill="auto"/>
            <w:noWrap/>
            <w:vAlign w:val="bottom"/>
            <w:hideMark/>
          </w:tcPr>
          <w:p w:rsidR="006D0F72" w:rsidRPr="006D0F72" w:rsidRDefault="006D0F72" w:rsidP="00130A37">
            <w:pPr>
              <w:pStyle w:val="Tablicagwkarodek"/>
            </w:pPr>
            <w:r w:rsidRPr="006D0F72">
              <w:t>2011=100</w:t>
            </w:r>
          </w:p>
        </w:tc>
      </w:tr>
      <w:tr w:rsidR="009400B6" w:rsidRPr="006D0F72" w:rsidTr="000A5604">
        <w:trPr>
          <w:trHeight w:val="300"/>
        </w:trPr>
        <w:tc>
          <w:tcPr>
            <w:tcW w:w="2268" w:type="dxa"/>
            <w:shd w:val="clear" w:color="auto" w:fill="auto"/>
            <w:noWrap/>
            <w:vAlign w:val="bottom"/>
            <w:hideMark/>
          </w:tcPr>
          <w:p w:rsidR="009400B6" w:rsidRPr="000A6803" w:rsidRDefault="009400B6" w:rsidP="009400B6">
            <w:pPr>
              <w:pStyle w:val="Tablicaboczek"/>
              <w:rPr>
                <w:b/>
              </w:rPr>
            </w:pPr>
            <w:r w:rsidRPr="000A6803">
              <w:rPr>
                <w:b/>
              </w:rPr>
              <w:t>Ogółem</w:t>
            </w:r>
          </w:p>
        </w:tc>
        <w:tc>
          <w:tcPr>
            <w:tcW w:w="1133" w:type="dxa"/>
            <w:shd w:val="clear" w:color="auto" w:fill="auto"/>
            <w:noWrap/>
            <w:vAlign w:val="bottom"/>
            <w:hideMark/>
          </w:tcPr>
          <w:p w:rsidR="009400B6" w:rsidRPr="000A6803" w:rsidRDefault="009400B6" w:rsidP="009400B6">
            <w:pPr>
              <w:pStyle w:val="Tablicadanerodek"/>
              <w:rPr>
                <w:b/>
              </w:rPr>
            </w:pPr>
            <w:r w:rsidRPr="000A6803">
              <w:rPr>
                <w:b/>
              </w:rPr>
              <w:t>3447,4</w:t>
            </w:r>
          </w:p>
        </w:tc>
        <w:tc>
          <w:tcPr>
            <w:tcW w:w="1133" w:type="dxa"/>
            <w:shd w:val="clear" w:color="auto" w:fill="auto"/>
            <w:noWrap/>
            <w:vAlign w:val="bottom"/>
            <w:hideMark/>
          </w:tcPr>
          <w:p w:rsidR="009400B6" w:rsidRPr="000A6803" w:rsidRDefault="009400B6" w:rsidP="009400B6">
            <w:pPr>
              <w:pStyle w:val="Tablicadanerodek"/>
              <w:rPr>
                <w:b/>
              </w:rPr>
            </w:pPr>
            <w:r w:rsidRPr="000A6803">
              <w:rPr>
                <w:b/>
              </w:rPr>
              <w:t>100,0</w:t>
            </w:r>
          </w:p>
        </w:tc>
        <w:tc>
          <w:tcPr>
            <w:tcW w:w="1133" w:type="dxa"/>
            <w:shd w:val="clear" w:color="auto" w:fill="auto"/>
            <w:noWrap/>
            <w:vAlign w:val="bottom"/>
            <w:hideMark/>
          </w:tcPr>
          <w:p w:rsidR="009400B6" w:rsidRPr="000A6803" w:rsidRDefault="009400B6" w:rsidP="009400B6">
            <w:pPr>
              <w:pStyle w:val="Tablicadanerodek"/>
              <w:rPr>
                <w:b/>
              </w:rPr>
            </w:pPr>
            <w:r w:rsidRPr="000A6803">
              <w:rPr>
                <w:b/>
              </w:rPr>
              <w:t>3504,6</w:t>
            </w:r>
          </w:p>
        </w:tc>
        <w:tc>
          <w:tcPr>
            <w:tcW w:w="1133" w:type="dxa"/>
            <w:shd w:val="clear" w:color="auto" w:fill="auto"/>
            <w:noWrap/>
            <w:vAlign w:val="bottom"/>
            <w:hideMark/>
          </w:tcPr>
          <w:p w:rsidR="009400B6" w:rsidRPr="000A6803" w:rsidRDefault="009400B6" w:rsidP="009400B6">
            <w:pPr>
              <w:pStyle w:val="Tablicadanerodek"/>
              <w:rPr>
                <w:b/>
              </w:rPr>
            </w:pPr>
            <w:r w:rsidRPr="000A6803">
              <w:rPr>
                <w:b/>
              </w:rPr>
              <w:t>100,0</w:t>
            </w:r>
          </w:p>
        </w:tc>
        <w:tc>
          <w:tcPr>
            <w:tcW w:w="1133" w:type="dxa"/>
            <w:shd w:val="clear" w:color="auto" w:fill="auto"/>
            <w:noWrap/>
            <w:vAlign w:val="bottom"/>
            <w:hideMark/>
          </w:tcPr>
          <w:p w:rsidR="009400B6" w:rsidRPr="000A6803" w:rsidRDefault="009400B6" w:rsidP="009400B6">
            <w:pPr>
              <w:pStyle w:val="Tablicadanerodek"/>
              <w:rPr>
                <w:b/>
              </w:rPr>
            </w:pPr>
            <w:r w:rsidRPr="000A6803">
              <w:rPr>
                <w:b/>
              </w:rPr>
              <w:t>101,7</w:t>
            </w:r>
          </w:p>
        </w:tc>
      </w:tr>
      <w:tr w:rsidR="009400B6" w:rsidRPr="006D0F72" w:rsidTr="000A5604">
        <w:trPr>
          <w:trHeight w:val="300"/>
        </w:trPr>
        <w:tc>
          <w:tcPr>
            <w:tcW w:w="2268" w:type="dxa"/>
            <w:shd w:val="clear" w:color="auto" w:fill="auto"/>
            <w:noWrap/>
            <w:vAlign w:val="bottom"/>
          </w:tcPr>
          <w:p w:rsidR="009400B6" w:rsidRDefault="009400B6" w:rsidP="009400B6">
            <w:pPr>
              <w:pStyle w:val="Tablicaboczekwcicie1"/>
            </w:pPr>
            <w:r>
              <w:t>mężczyźni</w:t>
            </w:r>
          </w:p>
        </w:tc>
        <w:tc>
          <w:tcPr>
            <w:tcW w:w="1133" w:type="dxa"/>
            <w:shd w:val="clear" w:color="auto" w:fill="auto"/>
            <w:noWrap/>
            <w:vAlign w:val="bottom"/>
          </w:tcPr>
          <w:p w:rsidR="009400B6" w:rsidRDefault="009400B6" w:rsidP="009400B6">
            <w:pPr>
              <w:pStyle w:val="Tablicadanerodek"/>
            </w:pPr>
            <w:r>
              <w:t>1677,0</w:t>
            </w:r>
          </w:p>
        </w:tc>
        <w:tc>
          <w:tcPr>
            <w:tcW w:w="1133" w:type="dxa"/>
            <w:shd w:val="clear" w:color="auto" w:fill="auto"/>
            <w:noWrap/>
            <w:vAlign w:val="bottom"/>
          </w:tcPr>
          <w:p w:rsidR="009400B6" w:rsidRDefault="009400B6" w:rsidP="009400B6">
            <w:pPr>
              <w:pStyle w:val="Tablicadanerodek"/>
            </w:pPr>
            <w:r>
              <w:t>48,6</w:t>
            </w:r>
          </w:p>
        </w:tc>
        <w:tc>
          <w:tcPr>
            <w:tcW w:w="1133" w:type="dxa"/>
            <w:shd w:val="clear" w:color="auto" w:fill="auto"/>
            <w:noWrap/>
            <w:vAlign w:val="bottom"/>
          </w:tcPr>
          <w:p w:rsidR="009400B6" w:rsidRDefault="009400B6" w:rsidP="009400B6">
            <w:pPr>
              <w:pStyle w:val="Tablicadanerodek"/>
            </w:pPr>
            <w:r>
              <w:t>1703,5</w:t>
            </w:r>
          </w:p>
        </w:tc>
        <w:tc>
          <w:tcPr>
            <w:tcW w:w="1133" w:type="dxa"/>
            <w:shd w:val="clear" w:color="auto" w:fill="auto"/>
            <w:noWrap/>
            <w:vAlign w:val="bottom"/>
          </w:tcPr>
          <w:p w:rsidR="009400B6" w:rsidRDefault="009400B6" w:rsidP="009400B6">
            <w:pPr>
              <w:pStyle w:val="Tablicadanerodek"/>
            </w:pPr>
            <w:r>
              <w:t>48,6</w:t>
            </w:r>
          </w:p>
        </w:tc>
        <w:tc>
          <w:tcPr>
            <w:tcW w:w="1133" w:type="dxa"/>
            <w:shd w:val="clear" w:color="auto" w:fill="auto"/>
            <w:noWrap/>
            <w:vAlign w:val="bottom"/>
          </w:tcPr>
          <w:p w:rsidR="009400B6" w:rsidRDefault="009400B6" w:rsidP="009400B6">
            <w:pPr>
              <w:pStyle w:val="Tablicadanerodek"/>
            </w:pPr>
            <w:r>
              <w:t>101,6</w:t>
            </w:r>
          </w:p>
        </w:tc>
      </w:tr>
      <w:tr w:rsidR="009400B6" w:rsidRPr="006D0F72" w:rsidTr="000A5604">
        <w:trPr>
          <w:trHeight w:val="300"/>
        </w:trPr>
        <w:tc>
          <w:tcPr>
            <w:tcW w:w="2268" w:type="dxa"/>
            <w:shd w:val="clear" w:color="auto" w:fill="auto"/>
            <w:noWrap/>
            <w:vAlign w:val="bottom"/>
          </w:tcPr>
          <w:p w:rsidR="009400B6" w:rsidRDefault="009400B6" w:rsidP="009400B6">
            <w:pPr>
              <w:pStyle w:val="Tablicaboczekwcicie1"/>
            </w:pPr>
            <w:r>
              <w:t>kobiety</w:t>
            </w:r>
          </w:p>
        </w:tc>
        <w:tc>
          <w:tcPr>
            <w:tcW w:w="1133" w:type="dxa"/>
            <w:shd w:val="clear" w:color="auto" w:fill="auto"/>
            <w:noWrap/>
            <w:vAlign w:val="bottom"/>
          </w:tcPr>
          <w:p w:rsidR="009400B6" w:rsidRDefault="009400B6" w:rsidP="009400B6">
            <w:pPr>
              <w:pStyle w:val="Tablicadanerodek"/>
            </w:pPr>
            <w:r>
              <w:t>1770,4</w:t>
            </w:r>
          </w:p>
        </w:tc>
        <w:tc>
          <w:tcPr>
            <w:tcW w:w="1133" w:type="dxa"/>
            <w:shd w:val="clear" w:color="auto" w:fill="auto"/>
            <w:noWrap/>
            <w:vAlign w:val="bottom"/>
          </w:tcPr>
          <w:p w:rsidR="009400B6" w:rsidRDefault="009400B6" w:rsidP="009400B6">
            <w:pPr>
              <w:pStyle w:val="Tablicadanerodek"/>
            </w:pPr>
            <w:r>
              <w:t>51,4</w:t>
            </w:r>
          </w:p>
        </w:tc>
        <w:tc>
          <w:tcPr>
            <w:tcW w:w="1133" w:type="dxa"/>
            <w:shd w:val="clear" w:color="auto" w:fill="auto"/>
            <w:noWrap/>
            <w:vAlign w:val="bottom"/>
          </w:tcPr>
          <w:p w:rsidR="009400B6" w:rsidRDefault="009400B6" w:rsidP="009400B6">
            <w:pPr>
              <w:pStyle w:val="Tablicadanerodek"/>
            </w:pPr>
            <w:r>
              <w:t>1801,1</w:t>
            </w:r>
          </w:p>
        </w:tc>
        <w:tc>
          <w:tcPr>
            <w:tcW w:w="1133" w:type="dxa"/>
            <w:shd w:val="clear" w:color="auto" w:fill="auto"/>
            <w:noWrap/>
            <w:vAlign w:val="bottom"/>
          </w:tcPr>
          <w:p w:rsidR="009400B6" w:rsidRDefault="009400B6" w:rsidP="009400B6">
            <w:pPr>
              <w:pStyle w:val="Tablicadanerodek"/>
            </w:pPr>
            <w:r>
              <w:t>51,4</w:t>
            </w:r>
          </w:p>
        </w:tc>
        <w:tc>
          <w:tcPr>
            <w:tcW w:w="1133" w:type="dxa"/>
            <w:shd w:val="clear" w:color="auto" w:fill="auto"/>
            <w:noWrap/>
            <w:vAlign w:val="bottom"/>
          </w:tcPr>
          <w:p w:rsidR="009400B6" w:rsidRDefault="009400B6" w:rsidP="009400B6">
            <w:pPr>
              <w:pStyle w:val="Tablicadanerodek"/>
            </w:pPr>
            <w:r>
              <w:t>101,7</w:t>
            </w:r>
          </w:p>
        </w:tc>
      </w:tr>
      <w:tr w:rsidR="009400B6" w:rsidRPr="006D0F72" w:rsidTr="000A5604">
        <w:trPr>
          <w:trHeight w:val="300"/>
        </w:trPr>
        <w:tc>
          <w:tcPr>
            <w:tcW w:w="2268" w:type="dxa"/>
            <w:shd w:val="clear" w:color="auto" w:fill="auto"/>
            <w:noWrap/>
            <w:vAlign w:val="bottom"/>
            <w:hideMark/>
          </w:tcPr>
          <w:p w:rsidR="009400B6" w:rsidRPr="00A75E90" w:rsidRDefault="009400B6" w:rsidP="009400B6">
            <w:pPr>
              <w:pStyle w:val="Tablicaboczek"/>
            </w:pPr>
            <w:r>
              <w:t>Miasta</w:t>
            </w:r>
          </w:p>
        </w:tc>
        <w:tc>
          <w:tcPr>
            <w:tcW w:w="1133" w:type="dxa"/>
            <w:shd w:val="clear" w:color="auto" w:fill="auto"/>
            <w:noWrap/>
            <w:vAlign w:val="bottom"/>
            <w:hideMark/>
          </w:tcPr>
          <w:p w:rsidR="009400B6" w:rsidRDefault="009400B6" w:rsidP="009400B6">
            <w:pPr>
              <w:pStyle w:val="Tablicadanerodek"/>
            </w:pPr>
            <w:r>
              <w:t>1925,8</w:t>
            </w:r>
          </w:p>
        </w:tc>
        <w:tc>
          <w:tcPr>
            <w:tcW w:w="1133" w:type="dxa"/>
            <w:shd w:val="clear" w:color="auto" w:fill="auto"/>
            <w:noWrap/>
            <w:vAlign w:val="bottom"/>
            <w:hideMark/>
          </w:tcPr>
          <w:p w:rsidR="009400B6" w:rsidRDefault="009400B6" w:rsidP="009400B6">
            <w:pPr>
              <w:pStyle w:val="Tablicadanerodek"/>
            </w:pPr>
            <w:r>
              <w:t>55,9</w:t>
            </w:r>
          </w:p>
        </w:tc>
        <w:tc>
          <w:tcPr>
            <w:tcW w:w="1133" w:type="dxa"/>
            <w:shd w:val="clear" w:color="auto" w:fill="auto"/>
            <w:noWrap/>
            <w:vAlign w:val="bottom"/>
            <w:hideMark/>
          </w:tcPr>
          <w:p w:rsidR="009400B6" w:rsidRDefault="009400B6" w:rsidP="009400B6">
            <w:pPr>
              <w:pStyle w:val="Tablicadanerodek"/>
            </w:pPr>
            <w:r>
              <w:t>1884,9</w:t>
            </w:r>
          </w:p>
        </w:tc>
        <w:tc>
          <w:tcPr>
            <w:tcW w:w="1133" w:type="dxa"/>
            <w:shd w:val="clear" w:color="auto" w:fill="auto"/>
            <w:noWrap/>
            <w:vAlign w:val="bottom"/>
            <w:hideMark/>
          </w:tcPr>
          <w:p w:rsidR="009400B6" w:rsidRDefault="009400B6" w:rsidP="009400B6">
            <w:pPr>
              <w:pStyle w:val="Tablicadanerodek"/>
            </w:pPr>
            <w:r>
              <w:t>53,8</w:t>
            </w:r>
          </w:p>
        </w:tc>
        <w:tc>
          <w:tcPr>
            <w:tcW w:w="1133" w:type="dxa"/>
            <w:shd w:val="clear" w:color="auto" w:fill="auto"/>
            <w:noWrap/>
            <w:vAlign w:val="bottom"/>
            <w:hideMark/>
          </w:tcPr>
          <w:p w:rsidR="009400B6" w:rsidRDefault="009400B6" w:rsidP="009400B6">
            <w:pPr>
              <w:pStyle w:val="Tablicadanerodek"/>
            </w:pPr>
            <w:r>
              <w:t>97,9</w:t>
            </w:r>
          </w:p>
        </w:tc>
      </w:tr>
      <w:tr w:rsidR="009400B6" w:rsidRPr="006D0F72" w:rsidTr="000A5604">
        <w:trPr>
          <w:trHeight w:val="300"/>
        </w:trPr>
        <w:tc>
          <w:tcPr>
            <w:tcW w:w="2268" w:type="dxa"/>
            <w:shd w:val="clear" w:color="auto" w:fill="auto"/>
            <w:noWrap/>
            <w:vAlign w:val="bottom"/>
            <w:hideMark/>
          </w:tcPr>
          <w:p w:rsidR="009400B6" w:rsidRPr="00A75E90" w:rsidRDefault="009400B6" w:rsidP="009400B6">
            <w:pPr>
              <w:pStyle w:val="Tablicaboczek"/>
            </w:pPr>
            <w:r>
              <w:t>W</w:t>
            </w:r>
            <w:r w:rsidRPr="00A75E90">
              <w:t>ieś</w:t>
            </w:r>
          </w:p>
        </w:tc>
        <w:tc>
          <w:tcPr>
            <w:tcW w:w="1133" w:type="dxa"/>
            <w:shd w:val="clear" w:color="auto" w:fill="auto"/>
            <w:noWrap/>
            <w:vAlign w:val="bottom"/>
            <w:hideMark/>
          </w:tcPr>
          <w:p w:rsidR="009400B6" w:rsidRDefault="009400B6" w:rsidP="009400B6">
            <w:pPr>
              <w:pStyle w:val="Tablicadanerodek"/>
            </w:pPr>
            <w:r>
              <w:t>1521,6</w:t>
            </w:r>
          </w:p>
        </w:tc>
        <w:tc>
          <w:tcPr>
            <w:tcW w:w="1133" w:type="dxa"/>
            <w:shd w:val="clear" w:color="auto" w:fill="auto"/>
            <w:noWrap/>
            <w:vAlign w:val="bottom"/>
            <w:hideMark/>
          </w:tcPr>
          <w:p w:rsidR="009400B6" w:rsidRDefault="009400B6" w:rsidP="009400B6">
            <w:pPr>
              <w:pStyle w:val="Tablicadanerodek"/>
            </w:pPr>
            <w:r>
              <w:t>44,1</w:t>
            </w:r>
          </w:p>
        </w:tc>
        <w:tc>
          <w:tcPr>
            <w:tcW w:w="1133" w:type="dxa"/>
            <w:shd w:val="clear" w:color="auto" w:fill="auto"/>
            <w:noWrap/>
            <w:vAlign w:val="bottom"/>
            <w:hideMark/>
          </w:tcPr>
          <w:p w:rsidR="009400B6" w:rsidRDefault="009400B6" w:rsidP="009400B6">
            <w:pPr>
              <w:pStyle w:val="Tablicadanerodek"/>
            </w:pPr>
            <w:r>
              <w:t>1619,7</w:t>
            </w:r>
          </w:p>
        </w:tc>
        <w:tc>
          <w:tcPr>
            <w:tcW w:w="1133" w:type="dxa"/>
            <w:shd w:val="clear" w:color="auto" w:fill="auto"/>
            <w:noWrap/>
            <w:vAlign w:val="bottom"/>
            <w:hideMark/>
          </w:tcPr>
          <w:p w:rsidR="009400B6" w:rsidRDefault="009400B6" w:rsidP="009400B6">
            <w:pPr>
              <w:pStyle w:val="Tablicadanerodek"/>
            </w:pPr>
            <w:r>
              <w:t>46,2</w:t>
            </w:r>
          </w:p>
        </w:tc>
        <w:tc>
          <w:tcPr>
            <w:tcW w:w="1133" w:type="dxa"/>
            <w:shd w:val="clear" w:color="auto" w:fill="auto"/>
            <w:noWrap/>
            <w:vAlign w:val="bottom"/>
            <w:hideMark/>
          </w:tcPr>
          <w:p w:rsidR="009400B6" w:rsidRDefault="009400B6" w:rsidP="009400B6">
            <w:pPr>
              <w:pStyle w:val="Tablicadanerodek"/>
            </w:pPr>
            <w:r>
              <w:t>106,4</w:t>
            </w:r>
          </w:p>
        </w:tc>
      </w:tr>
    </w:tbl>
    <w:bookmarkStart w:id="3" w:name="_Hlk110419682"/>
    <w:bookmarkEnd w:id="2"/>
    <w:p w:rsidR="00D64A27" w:rsidRDefault="002D6255" w:rsidP="00D64A27">
      <w:pPr>
        <w:spacing w:before="360"/>
        <w:rPr>
          <w:shd w:val="clear" w:color="auto" w:fill="FFFFFF"/>
        </w:rPr>
      </w:pPr>
      <w:r w:rsidRPr="00823593">
        <w:rPr>
          <w:b/>
          <w:noProof/>
          <w:spacing w:val="-2"/>
          <w:szCs w:val="19"/>
          <w:lang w:eastAsia="pl-PL"/>
        </w:rPr>
        <mc:AlternateContent>
          <mc:Choice Requires="wps">
            <w:drawing>
              <wp:anchor distT="45720" distB="45720" distL="114300" distR="114300" simplePos="0" relativeHeight="251776000" behindDoc="1" locked="0" layoutInCell="1" allowOverlap="1" wp14:anchorId="2B183162" wp14:editId="5A2B3F83">
                <wp:simplePos x="0" y="0"/>
                <wp:positionH relativeFrom="column">
                  <wp:posOffset>5219700</wp:posOffset>
                </wp:positionH>
                <wp:positionV relativeFrom="page">
                  <wp:posOffset>8873317</wp:posOffset>
                </wp:positionV>
                <wp:extent cx="1799590" cy="759460"/>
                <wp:effectExtent l="0" t="0" r="0" b="2540"/>
                <wp:wrapTight wrapText="bothSides">
                  <wp:wrapPolygon edited="0">
                    <wp:start x="686" y="0"/>
                    <wp:lineTo x="686" y="21130"/>
                    <wp:lineTo x="20807" y="21130"/>
                    <wp:lineTo x="20807" y="0"/>
                    <wp:lineTo x="686"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759460"/>
                        </a:xfrm>
                        <a:prstGeom prst="rect">
                          <a:avLst/>
                        </a:prstGeom>
                        <a:noFill/>
                        <a:ln w="9525">
                          <a:noFill/>
                          <a:miter lim="800000"/>
                          <a:headEnd/>
                          <a:tailEnd/>
                        </a:ln>
                      </wps:spPr>
                      <wps:txbx>
                        <w:txbxContent>
                          <w:p w:rsidR="002D6255" w:rsidRPr="00E95B8E" w:rsidRDefault="00F02A41" w:rsidP="002D6255">
                            <w:pPr>
                              <w:pStyle w:val="tekstzboku"/>
                              <w:spacing w:before="0"/>
                              <w:rPr>
                                <w:bCs w:val="0"/>
                              </w:rPr>
                            </w:pPr>
                            <w:r>
                              <w:t>W gminach wiejskich okalających stolicę województwa wielkopolskiego liczba ludności zwiększyła się o ok. 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83162" id="_x0000_s1029" type="#_x0000_t202" alt="Lorem ipsum dolor sit amet, consectetur adipiscing elit" style="position:absolute;margin-left:411pt;margin-top:698.7pt;width:141.7pt;height:59.8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" filled="f" stroked="f">
                <v:textbox>
                  <w:txbxContent>
                    <w:p w:rsidR="002D6255" w:rsidRPr="00E95B8E" w:rsidRDefault="00F02A41" w:rsidP="002D6255">
                      <w:pPr>
                        <w:pStyle w:val="tekstzboku"/>
                        <w:spacing w:before="0"/>
                        <w:rPr>
                          <w:bCs w:val="0"/>
                        </w:rPr>
                      </w:pPr>
                      <w:r>
                        <w:t>W gminach wiejskich okalających stolicę województwa wielkopolskiego liczba ludności zwiększyła się o ok. 70%</w:t>
                      </w:r>
                    </w:p>
                  </w:txbxContent>
                </v:textbox>
                <w10:wrap type="tight" anchory="page"/>
              </v:shape>
            </w:pict>
          </mc:Fallback>
        </mc:AlternateContent>
      </w:r>
      <w:r w:rsidR="00D64A27" w:rsidRPr="00CD2324">
        <w:rPr>
          <w:shd w:val="clear" w:color="auto" w:fill="FFFFFF"/>
        </w:rPr>
        <w:t>Wzrost liczby ludności na wsi kosztem miast w dużej mierze wiązał się z rozwojem okalających je gmin, często spełniających dla tych miast funkcję „sypialni”. W wielkopolskim w sposób najbardziej wyraźny zjawisko to uw</w:t>
      </w:r>
      <w:r>
        <w:rPr>
          <w:shd w:val="clear" w:color="auto" w:fill="FFFFFF"/>
        </w:rPr>
        <w:t>idacznia się w </w:t>
      </w:r>
      <w:r w:rsidR="00D64A27" w:rsidRPr="00CD2324">
        <w:rPr>
          <w:shd w:val="clear" w:color="auto" w:fill="FFFFFF"/>
        </w:rPr>
        <w:t xml:space="preserve">aglomeracji poznańskiej. Liczba mieszkańców Poznania w porównaniu z poprzednim spisem zmniejszyła się </w:t>
      </w:r>
      <w:r w:rsidR="00D64A27">
        <w:rPr>
          <w:shd w:val="clear" w:color="auto" w:fill="FFFFFF"/>
        </w:rPr>
        <w:t>(</w:t>
      </w:r>
      <w:r w:rsidR="00D64A27" w:rsidRPr="00CD2324">
        <w:rPr>
          <w:shd w:val="clear" w:color="auto" w:fill="FFFFFF"/>
        </w:rPr>
        <w:t>o 1,4%</w:t>
      </w:r>
      <w:r w:rsidR="00D64A27">
        <w:rPr>
          <w:shd w:val="clear" w:color="auto" w:fill="FFFFFF"/>
        </w:rPr>
        <w:t>)</w:t>
      </w:r>
      <w:r w:rsidR="00D64A27" w:rsidRPr="00CD2324">
        <w:rPr>
          <w:shd w:val="clear" w:color="auto" w:fill="FFFFFF"/>
        </w:rPr>
        <w:t xml:space="preserve">, podczas gdy </w:t>
      </w:r>
      <w:r w:rsidR="00D64A27">
        <w:rPr>
          <w:shd w:val="clear" w:color="auto" w:fill="FFFFFF"/>
        </w:rPr>
        <w:t xml:space="preserve">niemal we wszystkich gminach powiatu poznańskiego odnotowano wzrost </w:t>
      </w:r>
      <w:r w:rsidR="00D64A27" w:rsidRPr="00CD2324">
        <w:rPr>
          <w:shd w:val="clear" w:color="auto" w:fill="FFFFFF"/>
        </w:rPr>
        <w:t>populacj</w:t>
      </w:r>
      <w:r w:rsidR="00D64A27">
        <w:rPr>
          <w:shd w:val="clear" w:color="auto" w:fill="FFFFFF"/>
        </w:rPr>
        <w:t>i, z czego</w:t>
      </w:r>
      <w:r w:rsidR="00D64A27" w:rsidRPr="00CD2324">
        <w:rPr>
          <w:shd w:val="clear" w:color="auto" w:fill="FFFFFF"/>
        </w:rPr>
        <w:t xml:space="preserve"> w 4 sąsiadujących ze stolicą regionu gminach wiejskich (Dopiewie, Kleszczewie, Komornikach i Rokietnicy) wzros</w:t>
      </w:r>
      <w:r w:rsidR="00D64A27">
        <w:rPr>
          <w:shd w:val="clear" w:color="auto" w:fill="FFFFFF"/>
        </w:rPr>
        <w:t>t ten sięgał</w:t>
      </w:r>
      <w:r w:rsidR="00D64A27" w:rsidRPr="00CD2324">
        <w:rPr>
          <w:shd w:val="clear" w:color="auto" w:fill="FFFFFF"/>
        </w:rPr>
        <w:t xml:space="preserve"> ok. 70% (od 68,7% w Kleszczewie do 77,1% w Komornikach). </w:t>
      </w:r>
    </w:p>
    <w:p w:rsidR="00E24C0B" w:rsidRDefault="00FB4D9C" w:rsidP="00D64A27">
      <w:pPr>
        <w:pStyle w:val="Tytuwykresu0"/>
        <w:rPr>
          <w:shd w:val="clear" w:color="auto" w:fill="FFFFFF"/>
        </w:rPr>
      </w:pPr>
      <w:r w:rsidRPr="00FB4D9C">
        <w:lastRenderedPageBreak/>
        <w:drawing>
          <wp:anchor distT="0" distB="180340" distL="114300" distR="114300" simplePos="0" relativeHeight="251796480" behindDoc="0" locked="0" layoutInCell="1" allowOverlap="1">
            <wp:simplePos x="0" y="0"/>
            <wp:positionH relativeFrom="column">
              <wp:posOffset>433070</wp:posOffset>
            </wp:positionH>
            <wp:positionV relativeFrom="paragraph">
              <wp:posOffset>238125</wp:posOffset>
            </wp:positionV>
            <wp:extent cx="4230000" cy="5349600"/>
            <wp:effectExtent l="0" t="0" r="0" b="3810"/>
            <wp:wrapTopAndBottom/>
            <wp:docPr id="15" name="Obraz 15" descr="Kartogram – gminy województwa wielkopolskiego, dotyczący zmian liczby ludności w relacji do 2011 r. Cieniowanie (7 przedziałów) – przyrost/ubytek liczby ludności w %. Dodatkowo wartość dla województwa wielkopolskiego (1,7% – przyrost lud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0000" cy="53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27">
        <w:rPr>
          <w:shd w:val="clear" w:color="auto" w:fill="FFFFFF"/>
        </w:rPr>
        <w:t>Mapa 1. Zmiana liczby ludności w latach 2011–2021</w:t>
      </w:r>
    </w:p>
    <w:p w:rsidR="00E24C0B" w:rsidRDefault="00E24C0B" w:rsidP="00E24C0B">
      <w:pPr>
        <w:rPr>
          <w:shd w:val="clear" w:color="auto" w:fill="FFFFFF"/>
        </w:rPr>
      </w:pPr>
      <w:r w:rsidRPr="00CD2324">
        <w:rPr>
          <w:shd w:val="clear" w:color="auto" w:fill="FFFFFF"/>
        </w:rPr>
        <w:t>Pomimo obs</w:t>
      </w:r>
      <w:r>
        <w:rPr>
          <w:shd w:val="clear" w:color="auto" w:fill="FFFFFF"/>
        </w:rPr>
        <w:t xml:space="preserve">erwowanych tendencji związanych z miejscem zamieszkania w województwie wielkopolskim nadal przewagę liczebną mają mieszkańcy miast. Współczynnik urbanizacji, określający udział </w:t>
      </w:r>
      <w:r w:rsidRPr="00DD038B">
        <w:rPr>
          <w:shd w:val="clear" w:color="auto" w:fill="FFFFFF"/>
        </w:rPr>
        <w:t>ludności miejskiej w ogólnej liczbie ludności</w:t>
      </w:r>
      <w:r>
        <w:rPr>
          <w:shd w:val="clear" w:color="auto" w:fill="FFFFFF"/>
        </w:rPr>
        <w:t>, według NSP 2021 wynosił 53,8% i w stosunku do 2011 r. obniżył się o 2,1 p.proc. (w kraju 59,8%; spadek o 1,0 p.proc</w:t>
      </w:r>
      <w:r w:rsidR="000A6803">
        <w:rPr>
          <w:shd w:val="clear" w:color="auto" w:fill="FFFFFF"/>
        </w:rPr>
        <w:t>.</w:t>
      </w:r>
      <w:r>
        <w:rPr>
          <w:shd w:val="clear" w:color="auto" w:fill="FFFFFF"/>
        </w:rPr>
        <w:t xml:space="preserve">). </w:t>
      </w:r>
    </w:p>
    <w:p w:rsidR="008F36ED" w:rsidRDefault="00E24C0B" w:rsidP="00E24C0B">
      <w:pPr>
        <w:rPr>
          <w:shd w:val="clear" w:color="auto" w:fill="FFFFFF"/>
        </w:rPr>
      </w:pPr>
      <w:r>
        <w:rPr>
          <w:shd w:val="clear" w:color="auto" w:fill="FFFFFF"/>
        </w:rPr>
        <w:t>Na 1 km</w:t>
      </w:r>
      <w:r w:rsidRPr="00700063">
        <w:rPr>
          <w:shd w:val="clear" w:color="auto" w:fill="FFFFFF"/>
          <w:vertAlign w:val="superscript"/>
        </w:rPr>
        <w:t>2</w:t>
      </w:r>
      <w:r>
        <w:rPr>
          <w:shd w:val="clear" w:color="auto" w:fill="FFFFFF"/>
        </w:rPr>
        <w:t xml:space="preserve"> powierzchni województwa przypadało 117 osób (wobec 116 w 2011 r.), przy przeciętnej w kraju 122 osoby (wobec 123</w:t>
      </w:r>
      <w:r w:rsidR="00B74C13">
        <w:rPr>
          <w:shd w:val="clear" w:color="auto" w:fill="FFFFFF"/>
        </w:rPr>
        <w:t xml:space="preserve"> w poprzednim spisie</w:t>
      </w:r>
      <w:r>
        <w:rPr>
          <w:shd w:val="clear" w:color="auto" w:fill="FFFFFF"/>
        </w:rPr>
        <w:t>). Zdecydowanie większa gęstość zaludnienia charakteryzowała miasta, gdzie ten wskaźnik wynosił 1178 osób/km</w:t>
      </w:r>
      <w:r w:rsidRPr="00264341">
        <w:rPr>
          <w:shd w:val="clear" w:color="auto" w:fill="FFFFFF"/>
          <w:vertAlign w:val="superscript"/>
        </w:rPr>
        <w:t>2</w:t>
      </w:r>
      <w:r w:rsidR="00B74C13">
        <w:rPr>
          <w:shd w:val="clear" w:color="auto" w:fill="FFFFFF"/>
        </w:rPr>
        <w:t xml:space="preserve"> (wobec 1291 w </w:t>
      </w:r>
      <w:r>
        <w:rPr>
          <w:shd w:val="clear" w:color="auto" w:fill="FFFFFF"/>
        </w:rPr>
        <w:t>poprzednim spisie i</w:t>
      </w:r>
      <w:r w:rsidR="00B74C13">
        <w:rPr>
          <w:shd w:val="clear" w:color="auto" w:fill="FFFFFF"/>
        </w:rPr>
        <w:t xml:space="preserve"> </w:t>
      </w:r>
      <w:r>
        <w:rPr>
          <w:shd w:val="clear" w:color="auto" w:fill="FFFFFF"/>
        </w:rPr>
        <w:t>1017 w 2021 r. w kraju), przy za</w:t>
      </w:r>
      <w:r w:rsidR="00B74C13">
        <w:rPr>
          <w:shd w:val="clear" w:color="auto" w:fill="FFFFFF"/>
        </w:rPr>
        <w:t>ludnieniu na wsi na poziomie 57 </w:t>
      </w:r>
      <w:r>
        <w:rPr>
          <w:shd w:val="clear" w:color="auto" w:fill="FFFFFF"/>
        </w:rPr>
        <w:t>osób/km</w:t>
      </w:r>
      <w:r w:rsidRPr="00264341">
        <w:rPr>
          <w:shd w:val="clear" w:color="auto" w:fill="FFFFFF"/>
          <w:vertAlign w:val="superscript"/>
        </w:rPr>
        <w:t>2</w:t>
      </w:r>
      <w:r w:rsidRPr="00264341">
        <w:rPr>
          <w:shd w:val="clear" w:color="auto" w:fill="FFFFFF"/>
        </w:rPr>
        <w:t xml:space="preserve"> (wobec </w:t>
      </w:r>
      <w:r>
        <w:rPr>
          <w:shd w:val="clear" w:color="auto" w:fill="FFFFFF"/>
        </w:rPr>
        <w:t>odpowiednio 54 i 53). O ile liczba ludności lokuje wielkopolskie na jednej z czołowych pozycji wśród województw (3. miejsce za mazowieckim i śląskim), to pod względem gęstości zaludnienia region plasuje się w środkowej części tej listy (7. miejsce). Najbardziej zaludnione są gminy miejskie, w tym miasta na prawach powiatu. Według wyników NSP 2021 najwyższe wskaźniki (średnio powyżej 2 tys. osób na 1 km</w:t>
      </w:r>
      <w:r w:rsidRPr="00005EE7">
        <w:rPr>
          <w:shd w:val="clear" w:color="auto" w:fill="FFFFFF"/>
          <w:vertAlign w:val="superscript"/>
        </w:rPr>
        <w:t>2</w:t>
      </w:r>
      <w:r>
        <w:rPr>
          <w:shd w:val="clear" w:color="auto" w:fill="FFFFFF"/>
        </w:rPr>
        <w:t xml:space="preserve">) zanotowano </w:t>
      </w:r>
      <w:r w:rsidR="00AC025E">
        <w:rPr>
          <w:shd w:val="clear" w:color="auto" w:fill="FFFFFF"/>
        </w:rPr>
        <w:br/>
      </w:r>
      <w:r>
        <w:rPr>
          <w:shd w:val="clear" w:color="auto" w:fill="FFFFFF"/>
        </w:rPr>
        <w:t>w Kościani</w:t>
      </w:r>
      <w:r w:rsidR="00B74C13">
        <w:rPr>
          <w:shd w:val="clear" w:color="auto" w:fill="FFFFFF"/>
        </w:rPr>
        <w:t xml:space="preserve">e (2666 osób), Luboniu (2444) i </w:t>
      </w:r>
      <w:r>
        <w:rPr>
          <w:shd w:val="clear" w:color="auto" w:fill="FFFFFF"/>
        </w:rPr>
        <w:t>Poznaniu (2088), a da</w:t>
      </w:r>
      <w:r w:rsidR="00AC025E">
        <w:rPr>
          <w:shd w:val="clear" w:color="auto" w:fill="FFFFFF"/>
        </w:rPr>
        <w:t>lej (powyżej 1,5 tys. osób na 1 </w:t>
      </w:r>
      <w:r>
        <w:rPr>
          <w:shd w:val="clear" w:color="auto" w:fill="FFFFFF"/>
        </w:rPr>
        <w:t>km</w:t>
      </w:r>
      <w:r w:rsidRPr="00005EE7">
        <w:rPr>
          <w:shd w:val="clear" w:color="auto" w:fill="FFFFFF"/>
          <w:vertAlign w:val="superscript"/>
        </w:rPr>
        <w:t>2</w:t>
      </w:r>
      <w:r>
        <w:rPr>
          <w:shd w:val="clear" w:color="auto" w:fill="FFFFFF"/>
        </w:rPr>
        <w:t>) – w Lesznie (1939 osób), Ostrowie Wielkopolskim (1688), Złotowie (1621),</w:t>
      </w:r>
      <w:r w:rsidR="00B74C13">
        <w:rPr>
          <w:shd w:val="clear" w:color="auto" w:fill="FFFFFF"/>
        </w:rPr>
        <w:t xml:space="preserve"> Gnieźnie (1612) i </w:t>
      </w:r>
      <w:r>
        <w:rPr>
          <w:shd w:val="clear" w:color="auto" w:fill="FFFFFF"/>
        </w:rPr>
        <w:t xml:space="preserve">Turku (1569). </w:t>
      </w:r>
      <w:r w:rsidRPr="00A41E41">
        <w:rPr>
          <w:shd w:val="clear" w:color="auto" w:fill="FFFFFF"/>
        </w:rPr>
        <w:t>Najmniej zaludnion</w:t>
      </w:r>
      <w:r>
        <w:rPr>
          <w:shd w:val="clear" w:color="auto" w:fill="FFFFFF"/>
        </w:rPr>
        <w:t>a</w:t>
      </w:r>
      <w:r w:rsidRPr="00A41E41">
        <w:rPr>
          <w:shd w:val="clear" w:color="auto" w:fill="FFFFFF"/>
        </w:rPr>
        <w:t xml:space="preserve"> </w:t>
      </w:r>
      <w:r>
        <w:rPr>
          <w:shd w:val="clear" w:color="auto" w:fill="FFFFFF"/>
        </w:rPr>
        <w:t>jest</w:t>
      </w:r>
      <w:r w:rsidRPr="00A41E41">
        <w:rPr>
          <w:shd w:val="clear" w:color="auto" w:fill="FFFFFF"/>
        </w:rPr>
        <w:t xml:space="preserve"> północno-zachodni</w:t>
      </w:r>
      <w:r>
        <w:rPr>
          <w:shd w:val="clear" w:color="auto" w:fill="FFFFFF"/>
        </w:rPr>
        <w:t>a</w:t>
      </w:r>
      <w:r w:rsidRPr="00A41E41">
        <w:rPr>
          <w:shd w:val="clear" w:color="auto" w:fill="FFFFFF"/>
        </w:rPr>
        <w:t xml:space="preserve"> częś</w:t>
      </w:r>
      <w:r>
        <w:rPr>
          <w:shd w:val="clear" w:color="auto" w:fill="FFFFFF"/>
        </w:rPr>
        <w:t>ć</w:t>
      </w:r>
      <w:r w:rsidRPr="00A41E41">
        <w:rPr>
          <w:shd w:val="clear" w:color="auto" w:fill="FFFFFF"/>
        </w:rPr>
        <w:t xml:space="preserve"> województwa, charakteryzując</w:t>
      </w:r>
      <w:r>
        <w:rPr>
          <w:shd w:val="clear" w:color="auto" w:fill="FFFFFF"/>
        </w:rPr>
        <w:t>a</w:t>
      </w:r>
      <w:r w:rsidRPr="00A41E41">
        <w:rPr>
          <w:shd w:val="clear" w:color="auto" w:fill="FFFFFF"/>
        </w:rPr>
        <w:t xml:space="preserve"> się niskim</w:t>
      </w:r>
      <w:r>
        <w:rPr>
          <w:shd w:val="clear" w:color="auto" w:fill="FFFFFF"/>
        </w:rPr>
        <w:t xml:space="preserve"> </w:t>
      </w:r>
      <w:r w:rsidRPr="00A41E41">
        <w:rPr>
          <w:shd w:val="clear" w:color="auto" w:fill="FFFFFF"/>
        </w:rPr>
        <w:t>stopniem zurbanizowania, co wynika z występowania</w:t>
      </w:r>
      <w:r>
        <w:rPr>
          <w:shd w:val="clear" w:color="auto" w:fill="FFFFFF"/>
        </w:rPr>
        <w:t xml:space="preserve"> </w:t>
      </w:r>
      <w:r w:rsidRPr="00A41E41">
        <w:rPr>
          <w:shd w:val="clear" w:color="auto" w:fill="FFFFFF"/>
        </w:rPr>
        <w:t>w tej części regionu rozległych terenów leśnych</w:t>
      </w:r>
      <w:r>
        <w:rPr>
          <w:shd w:val="clear" w:color="auto" w:fill="FFFFFF"/>
        </w:rPr>
        <w:t xml:space="preserve">. Najniższy wskaźnik gęstości zaludnienia odnotowano w gminie </w:t>
      </w:r>
      <w:r w:rsidRPr="00A41E41">
        <w:rPr>
          <w:shd w:val="clear" w:color="auto" w:fill="FFFFFF"/>
        </w:rPr>
        <w:t>Miedzichowo w powiecie nowotomyskim</w:t>
      </w:r>
      <w:r>
        <w:rPr>
          <w:shd w:val="clear" w:color="auto" w:fill="FFFFFF"/>
        </w:rPr>
        <w:t>, gdzie</w:t>
      </w:r>
      <w:r w:rsidRPr="00A41E41">
        <w:rPr>
          <w:shd w:val="clear" w:color="auto" w:fill="FFFFFF"/>
        </w:rPr>
        <w:t xml:space="preserve"> na 1 km</w:t>
      </w:r>
      <w:r w:rsidRPr="00A41E41">
        <w:rPr>
          <w:shd w:val="clear" w:color="auto" w:fill="FFFFFF"/>
          <w:vertAlign w:val="superscript"/>
        </w:rPr>
        <w:t>2</w:t>
      </w:r>
      <w:r>
        <w:rPr>
          <w:shd w:val="clear" w:color="auto" w:fill="FFFFFF"/>
        </w:rPr>
        <w:t xml:space="preserve"> przypadało 1</w:t>
      </w:r>
      <w:r w:rsidRPr="00A41E41">
        <w:rPr>
          <w:shd w:val="clear" w:color="auto" w:fill="FFFFFF"/>
        </w:rPr>
        <w:t>8 osób,</w:t>
      </w:r>
      <w:r>
        <w:rPr>
          <w:shd w:val="clear" w:color="auto" w:fill="FFFFFF"/>
        </w:rPr>
        <w:t xml:space="preserve"> ale do najsłabiej zaludnionych</w:t>
      </w:r>
      <w:r w:rsidRPr="00A41E41">
        <w:rPr>
          <w:shd w:val="clear" w:color="auto" w:fill="FFFFFF"/>
        </w:rPr>
        <w:t xml:space="preserve"> gmin</w:t>
      </w:r>
      <w:r>
        <w:rPr>
          <w:shd w:val="clear" w:color="auto" w:fill="FFFFFF"/>
        </w:rPr>
        <w:t xml:space="preserve"> należały również</w:t>
      </w:r>
      <w:r w:rsidRPr="00A41E41">
        <w:rPr>
          <w:shd w:val="clear" w:color="auto" w:fill="FFFFFF"/>
        </w:rPr>
        <w:t>: Tarnówka, Okonek</w:t>
      </w:r>
      <w:r>
        <w:rPr>
          <w:shd w:val="clear" w:color="auto" w:fill="FFFFFF"/>
        </w:rPr>
        <w:t>,</w:t>
      </w:r>
      <w:r w:rsidRPr="00A41E41">
        <w:rPr>
          <w:shd w:val="clear" w:color="auto" w:fill="FFFFFF"/>
        </w:rPr>
        <w:t xml:space="preserve"> Lipka</w:t>
      </w:r>
      <w:r>
        <w:rPr>
          <w:shd w:val="clear" w:color="auto" w:fill="FFFFFF"/>
        </w:rPr>
        <w:t xml:space="preserve">, Zakrzewo, Jastrowie </w:t>
      </w:r>
      <w:r w:rsidR="00ED6185">
        <w:rPr>
          <w:shd w:val="clear" w:color="auto" w:fill="FFFFFF"/>
        </w:rPr>
        <w:br/>
      </w:r>
      <w:r>
        <w:rPr>
          <w:shd w:val="clear" w:color="auto" w:fill="FFFFFF"/>
        </w:rPr>
        <w:t>i Złotów (</w:t>
      </w:r>
      <w:r w:rsidRPr="00A41E41">
        <w:rPr>
          <w:shd w:val="clear" w:color="auto" w:fill="FFFFFF"/>
        </w:rPr>
        <w:t>gmina wiejska</w:t>
      </w:r>
      <w:r>
        <w:rPr>
          <w:shd w:val="clear" w:color="auto" w:fill="FFFFFF"/>
        </w:rPr>
        <w:t xml:space="preserve">) </w:t>
      </w:r>
      <w:r w:rsidRPr="00A41E41">
        <w:rPr>
          <w:shd w:val="clear" w:color="auto" w:fill="FFFFFF"/>
        </w:rPr>
        <w:t>w powiecie złotowskim (odpowiednio</w:t>
      </w:r>
      <w:r>
        <w:rPr>
          <w:shd w:val="clear" w:color="auto" w:fill="FFFFFF"/>
        </w:rPr>
        <w:t>:</w:t>
      </w:r>
      <w:r w:rsidRPr="00A41E41">
        <w:rPr>
          <w:shd w:val="clear" w:color="auto" w:fill="FFFFFF"/>
        </w:rPr>
        <w:t xml:space="preserve"> 22, 2</w:t>
      </w:r>
      <w:r>
        <w:rPr>
          <w:shd w:val="clear" w:color="auto" w:fill="FFFFFF"/>
        </w:rPr>
        <w:t xml:space="preserve">5, </w:t>
      </w:r>
      <w:r w:rsidRPr="00A41E41">
        <w:rPr>
          <w:shd w:val="clear" w:color="auto" w:fill="FFFFFF"/>
        </w:rPr>
        <w:t>2</w:t>
      </w:r>
      <w:r>
        <w:rPr>
          <w:shd w:val="clear" w:color="auto" w:fill="FFFFFF"/>
        </w:rPr>
        <w:t>8, 30, 31 i 33</w:t>
      </w:r>
      <w:r w:rsidRPr="00A41E41">
        <w:rPr>
          <w:shd w:val="clear" w:color="auto" w:fill="FFFFFF"/>
        </w:rPr>
        <w:t xml:space="preserve">), a także Wieleń </w:t>
      </w:r>
      <w:r>
        <w:rPr>
          <w:shd w:val="clear" w:color="auto" w:fill="FFFFFF"/>
        </w:rPr>
        <w:t>i Czarnków (</w:t>
      </w:r>
      <w:r w:rsidRPr="00A41E41">
        <w:rPr>
          <w:shd w:val="clear" w:color="auto" w:fill="FFFFFF"/>
        </w:rPr>
        <w:t>gmina wiejska</w:t>
      </w:r>
      <w:r>
        <w:rPr>
          <w:shd w:val="clear" w:color="auto" w:fill="FFFFFF"/>
        </w:rPr>
        <w:t>) w</w:t>
      </w:r>
      <w:r w:rsidR="009B41A3">
        <w:rPr>
          <w:shd w:val="clear" w:color="auto" w:fill="FFFFFF"/>
        </w:rPr>
        <w:t xml:space="preserve"> </w:t>
      </w:r>
      <w:r w:rsidRPr="00A41E41">
        <w:rPr>
          <w:shd w:val="clear" w:color="auto" w:fill="FFFFFF"/>
        </w:rPr>
        <w:t>czarnkowsko-trzcianeckim (</w:t>
      </w:r>
      <w:r>
        <w:rPr>
          <w:shd w:val="clear" w:color="auto" w:fill="FFFFFF"/>
        </w:rPr>
        <w:t xml:space="preserve">odpowiednio </w:t>
      </w:r>
      <w:r w:rsidRPr="00A41E41">
        <w:rPr>
          <w:shd w:val="clear" w:color="auto" w:fill="FFFFFF"/>
        </w:rPr>
        <w:t>28</w:t>
      </w:r>
      <w:r>
        <w:rPr>
          <w:shd w:val="clear" w:color="auto" w:fill="FFFFFF"/>
        </w:rPr>
        <w:t xml:space="preserve"> i 32</w:t>
      </w:r>
      <w:r w:rsidRPr="00A41E41">
        <w:rPr>
          <w:shd w:val="clear" w:color="auto" w:fill="FFFFFF"/>
        </w:rPr>
        <w:t>) oraz</w:t>
      </w:r>
      <w:r w:rsidRPr="009923B5">
        <w:rPr>
          <w:shd w:val="clear" w:color="auto" w:fill="FFFFFF"/>
        </w:rPr>
        <w:t xml:space="preserve"> </w:t>
      </w:r>
      <w:r w:rsidRPr="00A41E41">
        <w:rPr>
          <w:shd w:val="clear" w:color="auto" w:fill="FFFFFF"/>
        </w:rPr>
        <w:t>Chodzież (gmina wiejska</w:t>
      </w:r>
      <w:r>
        <w:rPr>
          <w:shd w:val="clear" w:color="auto" w:fill="FFFFFF"/>
        </w:rPr>
        <w:t>) w chodzieskim</w:t>
      </w:r>
      <w:r w:rsidRPr="00A41E41">
        <w:rPr>
          <w:shd w:val="clear" w:color="auto" w:fill="FFFFFF"/>
        </w:rPr>
        <w:t xml:space="preserve"> </w:t>
      </w:r>
      <w:r>
        <w:rPr>
          <w:shd w:val="clear" w:color="auto" w:fill="FFFFFF"/>
        </w:rPr>
        <w:t>(</w:t>
      </w:r>
      <w:r w:rsidRPr="00A41E41">
        <w:rPr>
          <w:shd w:val="clear" w:color="auto" w:fill="FFFFFF"/>
        </w:rPr>
        <w:t>2</w:t>
      </w:r>
      <w:r>
        <w:rPr>
          <w:shd w:val="clear" w:color="auto" w:fill="FFFFFF"/>
        </w:rPr>
        <w:t>8</w:t>
      </w:r>
      <w:r w:rsidRPr="00A41E41">
        <w:rPr>
          <w:shd w:val="clear" w:color="auto" w:fill="FFFFFF"/>
        </w:rPr>
        <w:t>)</w:t>
      </w:r>
      <w:r>
        <w:rPr>
          <w:shd w:val="clear" w:color="auto" w:fill="FFFFFF"/>
        </w:rPr>
        <w:t xml:space="preserve"> i Powidz w słupeckim (28). </w:t>
      </w:r>
    </w:p>
    <w:p w:rsidR="00D64A27" w:rsidRDefault="004D13D1" w:rsidP="00D64A27">
      <w:pPr>
        <w:pStyle w:val="Tytuwykresu0"/>
        <w:rPr>
          <w:shd w:val="clear" w:color="auto" w:fill="FFFFFF"/>
        </w:rPr>
      </w:pPr>
      <w:r w:rsidRPr="004D13D1">
        <w:lastRenderedPageBreak/>
        <w:drawing>
          <wp:anchor distT="0" distB="180340" distL="114300" distR="114300" simplePos="0" relativeHeight="251786240" behindDoc="0" locked="0" layoutInCell="1" allowOverlap="1">
            <wp:simplePos x="0" y="0"/>
            <wp:positionH relativeFrom="column">
              <wp:posOffset>443553</wp:posOffset>
            </wp:positionH>
            <wp:positionV relativeFrom="paragraph">
              <wp:posOffset>348018</wp:posOffset>
            </wp:positionV>
            <wp:extent cx="4312800" cy="5457600"/>
            <wp:effectExtent l="0" t="0" r="0" b="0"/>
            <wp:wrapTopAndBottom/>
            <wp:docPr id="20" name="Obraz 20" descr="Kartogram – gminy województwa wielkopolskiego, przedstawiający gęstość zaludnienia w 2021 r. Cieniowanie (6 przedziałów) – gęstość zaludnienia (w osobach na 1 km2). Dodatkowo wartość dla województwa wielkopolskiego (117 osób na 1 k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2800" cy="54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27">
        <w:rPr>
          <w:shd w:val="clear" w:color="auto" w:fill="FFFFFF"/>
        </w:rPr>
        <w:t xml:space="preserve">Mapa </w:t>
      </w:r>
      <w:r w:rsidR="000A6803">
        <w:rPr>
          <w:shd w:val="clear" w:color="auto" w:fill="FFFFFF"/>
        </w:rPr>
        <w:t>2</w:t>
      </w:r>
      <w:r w:rsidR="00D64A27">
        <w:rPr>
          <w:shd w:val="clear" w:color="auto" w:fill="FFFFFF"/>
        </w:rPr>
        <w:t>. Gęstość zaludnienia w 2021 r.</w:t>
      </w:r>
      <w:r w:rsidR="00944D00">
        <w:rPr>
          <w:shd w:val="clear" w:color="auto" w:fill="FFFFFF"/>
        </w:rPr>
        <w:t xml:space="preserve"> </w:t>
      </w:r>
      <w:r w:rsidR="00103AEC">
        <w:rPr>
          <w:shd w:val="clear" w:color="auto" w:fill="FFFFFF"/>
        </w:rPr>
        <w:br/>
      </w:r>
      <w:r w:rsidR="00103AEC">
        <w:rPr>
          <w:shd w:val="clear" w:color="auto" w:fill="FFFFFF"/>
        </w:rPr>
        <w:tab/>
      </w:r>
      <w:r w:rsidR="00103AEC" w:rsidRPr="00103AEC">
        <w:rPr>
          <w:b w:val="0"/>
          <w:shd w:val="clear" w:color="auto" w:fill="FFFFFF"/>
        </w:rPr>
        <w:t>S</w:t>
      </w:r>
      <w:r w:rsidR="00D64A27" w:rsidRPr="00103AEC">
        <w:rPr>
          <w:b w:val="0"/>
          <w:shd w:val="clear" w:color="auto" w:fill="FFFFFF"/>
        </w:rPr>
        <w:t>tan w dn</w:t>
      </w:r>
      <w:r w:rsidR="00103AEC" w:rsidRPr="00103AEC">
        <w:rPr>
          <w:b w:val="0"/>
          <w:shd w:val="clear" w:color="auto" w:fill="FFFFFF"/>
        </w:rPr>
        <w:t>iu 31 marca</w:t>
      </w:r>
    </w:p>
    <w:p w:rsidR="003B6F90" w:rsidRDefault="008F36ED" w:rsidP="00A75D1D">
      <w:pPr>
        <w:rPr>
          <w:shd w:val="clear" w:color="auto" w:fill="FFFFFF"/>
        </w:rPr>
      </w:pPr>
      <w:r>
        <w:rPr>
          <w:shd w:val="clear" w:color="auto" w:fill="FFFFFF"/>
        </w:rPr>
        <w:t xml:space="preserve">W okresie międzyspisowym nie zmieniły się proporcje ludności według płci. Podobnie jak w 2011 r. </w:t>
      </w:r>
      <w:r w:rsidR="00F02AB5">
        <w:rPr>
          <w:shd w:val="clear" w:color="auto" w:fill="FFFFFF"/>
        </w:rPr>
        <w:t xml:space="preserve">w wielkopolskim </w:t>
      </w:r>
      <w:r w:rsidR="00F50EE9">
        <w:rPr>
          <w:shd w:val="clear" w:color="auto" w:fill="FFFFFF"/>
        </w:rPr>
        <w:t>liczebnie nieznacznie przeważały</w:t>
      </w:r>
      <w:r w:rsidR="00F50EE9" w:rsidRPr="00F50EE9">
        <w:rPr>
          <w:shd w:val="clear" w:color="auto" w:fill="FFFFFF"/>
        </w:rPr>
        <w:t xml:space="preserve"> </w:t>
      </w:r>
      <w:r w:rsidR="00F50EE9">
        <w:rPr>
          <w:shd w:val="clear" w:color="auto" w:fill="FFFFFF"/>
        </w:rPr>
        <w:t>kobiety, stanowiąc 51,4% populacji</w:t>
      </w:r>
      <w:r w:rsidR="008B08AB">
        <w:rPr>
          <w:shd w:val="clear" w:color="auto" w:fill="FFFFFF"/>
        </w:rPr>
        <w:t xml:space="preserve"> (w kraju </w:t>
      </w:r>
      <w:r w:rsidR="00F02AB5">
        <w:rPr>
          <w:shd w:val="clear" w:color="auto" w:fill="FFFFFF"/>
        </w:rPr>
        <w:t>51,7%)</w:t>
      </w:r>
      <w:r w:rsidR="00AD0151">
        <w:rPr>
          <w:shd w:val="clear" w:color="auto" w:fill="FFFFFF"/>
        </w:rPr>
        <w:t>. Na wsi udziały obu płci były niemal równe (kobiety 50,1%; mężczyźni 49,9%).</w:t>
      </w:r>
      <w:r w:rsidR="008875EB">
        <w:rPr>
          <w:shd w:val="clear" w:color="auto" w:fill="FFFFFF"/>
        </w:rPr>
        <w:t xml:space="preserve"> Na </w:t>
      </w:r>
      <w:r w:rsidR="00F02AB5">
        <w:rPr>
          <w:shd w:val="clear" w:color="auto" w:fill="FFFFFF"/>
        </w:rPr>
        <w:t>zbliż</w:t>
      </w:r>
      <w:r w:rsidR="008875EB">
        <w:rPr>
          <w:shd w:val="clear" w:color="auto" w:fill="FFFFFF"/>
        </w:rPr>
        <w:t>onym poziomie utrzymał się współczynnik feminizacji</w:t>
      </w:r>
      <w:r w:rsidR="008B08AB">
        <w:rPr>
          <w:shd w:val="clear" w:color="auto" w:fill="FFFFFF"/>
        </w:rPr>
        <w:t>.</w:t>
      </w:r>
      <w:r w:rsidR="008875EB">
        <w:rPr>
          <w:shd w:val="clear" w:color="auto" w:fill="FFFFFF"/>
        </w:rPr>
        <w:t xml:space="preserve"> </w:t>
      </w:r>
      <w:r w:rsidR="008B08AB">
        <w:rPr>
          <w:shd w:val="clear" w:color="auto" w:fill="FFFFFF"/>
        </w:rPr>
        <w:t xml:space="preserve">W 2021 r. na 100 mężczyzn przypadało przeciętnie 106 </w:t>
      </w:r>
      <w:r w:rsidR="008875EB">
        <w:rPr>
          <w:shd w:val="clear" w:color="auto" w:fill="FFFFFF"/>
        </w:rPr>
        <w:t>kobiet</w:t>
      </w:r>
      <w:r w:rsidR="00F02AB5">
        <w:rPr>
          <w:shd w:val="clear" w:color="auto" w:fill="FFFFFF"/>
        </w:rPr>
        <w:t xml:space="preserve"> (105,</w:t>
      </w:r>
      <w:r w:rsidR="004B64F6">
        <w:rPr>
          <w:shd w:val="clear" w:color="auto" w:fill="FFFFFF"/>
        </w:rPr>
        <w:t>7; w 2011 r. 105,6</w:t>
      </w:r>
      <w:r w:rsidR="00F02AB5">
        <w:rPr>
          <w:shd w:val="clear" w:color="auto" w:fill="FFFFFF"/>
        </w:rPr>
        <w:t>)</w:t>
      </w:r>
      <w:r w:rsidR="004B64F6">
        <w:rPr>
          <w:shd w:val="clear" w:color="auto" w:fill="FFFFFF"/>
        </w:rPr>
        <w:t>, przy średniej dla Polski 107 (106,8; w 2011 r. 106,6).</w:t>
      </w:r>
      <w:r w:rsidR="007225C1">
        <w:rPr>
          <w:shd w:val="clear" w:color="auto" w:fill="FFFFFF"/>
        </w:rPr>
        <w:t xml:space="preserve"> Większą przewagę obserwowano w miastach (blisko 111 kobiet na 100 mężczyzn; w 2011 r. 110). Natomiast na wsi zachowana była równowaga płci (100,3; wcześniej 100,2).</w:t>
      </w:r>
      <w:r w:rsidR="00E10376">
        <w:rPr>
          <w:shd w:val="clear" w:color="auto" w:fill="FFFFFF"/>
        </w:rPr>
        <w:t xml:space="preserve"> </w:t>
      </w:r>
      <w:r w:rsidR="00A75D1D">
        <w:rPr>
          <w:shd w:val="clear" w:color="auto" w:fill="FFFFFF"/>
        </w:rPr>
        <w:t>Niezależnie od miejsca zamieszkania</w:t>
      </w:r>
      <w:r w:rsidR="00A75D1D" w:rsidRPr="00F847F4">
        <w:t xml:space="preserve"> </w:t>
      </w:r>
      <w:r w:rsidR="00A75D1D" w:rsidRPr="00F847F4">
        <w:rPr>
          <w:shd w:val="clear" w:color="auto" w:fill="FFFFFF"/>
        </w:rPr>
        <w:t>przewaga liczebna jednej płci nad drugą zmienia się wraz z wiekiem.</w:t>
      </w:r>
      <w:r w:rsidR="00A75D1D">
        <w:rPr>
          <w:shd w:val="clear" w:color="auto" w:fill="FFFFFF"/>
        </w:rPr>
        <w:t xml:space="preserve"> W </w:t>
      </w:r>
      <w:r w:rsidR="00A75D1D" w:rsidRPr="00AB7AEB">
        <w:rPr>
          <w:shd w:val="clear" w:color="auto" w:fill="FFFFFF"/>
        </w:rPr>
        <w:t>kolejnych rocznikach</w:t>
      </w:r>
      <w:r w:rsidR="00A75D1D">
        <w:rPr>
          <w:shd w:val="clear" w:color="auto" w:fill="FFFFFF"/>
        </w:rPr>
        <w:t>,</w:t>
      </w:r>
      <w:r w:rsidR="00A75D1D" w:rsidRPr="00AB7AEB">
        <w:t xml:space="preserve"> </w:t>
      </w:r>
      <w:r w:rsidR="00A75D1D" w:rsidRPr="00AB7AEB">
        <w:rPr>
          <w:shd w:val="clear" w:color="auto" w:fill="FFFFFF"/>
        </w:rPr>
        <w:t>niemal do 50 roku życia, więcej było mężczyzn niż kobiet (niewielkie</w:t>
      </w:r>
      <w:r w:rsidR="00A75D1D">
        <w:rPr>
          <w:shd w:val="clear" w:color="auto" w:fill="FFFFFF"/>
        </w:rPr>
        <w:t xml:space="preserve"> </w:t>
      </w:r>
      <w:r w:rsidR="00A75D1D" w:rsidRPr="00AB7AEB">
        <w:rPr>
          <w:shd w:val="clear" w:color="auto" w:fill="FFFFFF"/>
        </w:rPr>
        <w:t>zachwianie tendencji nastąpiło dla rocznika 48 latków</w:t>
      </w:r>
      <w:r w:rsidR="00A75D1D">
        <w:rPr>
          <w:shd w:val="clear" w:color="auto" w:fill="FFFFFF"/>
        </w:rPr>
        <w:t xml:space="preserve">). </w:t>
      </w:r>
      <w:r w:rsidR="00A75D1D" w:rsidRPr="005F1CD4">
        <w:rPr>
          <w:shd w:val="clear" w:color="auto" w:fill="FFFFFF"/>
        </w:rPr>
        <w:t>Współczynnik feminizacji dla całego</w:t>
      </w:r>
      <w:r w:rsidR="00A75D1D">
        <w:rPr>
          <w:shd w:val="clear" w:color="auto" w:fill="FFFFFF"/>
        </w:rPr>
        <w:t xml:space="preserve"> </w:t>
      </w:r>
      <w:r w:rsidR="00A75D1D" w:rsidRPr="005F1CD4">
        <w:rPr>
          <w:shd w:val="clear" w:color="auto" w:fill="FFFFFF"/>
        </w:rPr>
        <w:t>przedziału 0–50 lat wyniósł 96,</w:t>
      </w:r>
      <w:r w:rsidR="00A75D1D">
        <w:rPr>
          <w:shd w:val="clear" w:color="auto" w:fill="FFFFFF"/>
        </w:rPr>
        <w:t>5</w:t>
      </w:r>
      <w:r w:rsidR="00A75D1D" w:rsidRPr="005F1CD4">
        <w:rPr>
          <w:shd w:val="clear" w:color="auto" w:fill="FFFFFF"/>
        </w:rPr>
        <w:t>. Na wsi przewaga liczebna mężczyzn utrzymywała się dłużej niż w miastach.</w:t>
      </w:r>
      <w:r w:rsidR="00A75D1D">
        <w:rPr>
          <w:shd w:val="clear" w:color="auto" w:fill="FFFFFF"/>
        </w:rPr>
        <w:t xml:space="preserve"> </w:t>
      </w:r>
      <w:r w:rsidR="00A75D1D" w:rsidRPr="005F1CD4">
        <w:rPr>
          <w:shd w:val="clear" w:color="auto" w:fill="FFFFFF"/>
        </w:rPr>
        <w:t xml:space="preserve">Bezwzględną przewagę obserwowano tam </w:t>
      </w:r>
      <w:r w:rsidR="00944D00">
        <w:rPr>
          <w:shd w:val="clear" w:color="auto" w:fill="FFFFFF"/>
        </w:rPr>
        <w:t>prawie</w:t>
      </w:r>
      <w:r w:rsidR="00A75D1D">
        <w:rPr>
          <w:shd w:val="clear" w:color="auto" w:fill="FFFFFF"/>
        </w:rPr>
        <w:t xml:space="preserve"> </w:t>
      </w:r>
      <w:r w:rsidR="00A75D1D" w:rsidRPr="005F1CD4">
        <w:rPr>
          <w:shd w:val="clear" w:color="auto" w:fill="FFFFFF"/>
        </w:rPr>
        <w:t>do 60 roku życia, podczas gdy w miastach tylko do 2</w:t>
      </w:r>
      <w:r w:rsidR="00A75D1D">
        <w:rPr>
          <w:shd w:val="clear" w:color="auto" w:fill="FFFFFF"/>
        </w:rPr>
        <w:t xml:space="preserve">0 </w:t>
      </w:r>
      <w:r w:rsidR="00A75D1D" w:rsidRPr="005F1CD4">
        <w:rPr>
          <w:shd w:val="clear" w:color="auto" w:fill="FFFFFF"/>
        </w:rPr>
        <w:t>roku życia</w:t>
      </w:r>
      <w:r w:rsidR="00A75D1D">
        <w:rPr>
          <w:shd w:val="clear" w:color="auto" w:fill="FFFFFF"/>
        </w:rPr>
        <w:t xml:space="preserve"> i ponownie (z niewielkimi wahaniami)</w:t>
      </w:r>
      <w:r w:rsidR="00A75D1D" w:rsidRPr="005F1CD4">
        <w:rPr>
          <w:shd w:val="clear" w:color="auto" w:fill="FFFFFF"/>
        </w:rPr>
        <w:t xml:space="preserve"> między </w:t>
      </w:r>
      <w:r w:rsidR="00A75D1D">
        <w:rPr>
          <w:shd w:val="clear" w:color="auto" w:fill="FFFFFF"/>
        </w:rPr>
        <w:t>28 a 42</w:t>
      </w:r>
      <w:r w:rsidR="00A75D1D" w:rsidRPr="005F1CD4">
        <w:rPr>
          <w:shd w:val="clear" w:color="auto" w:fill="FFFFFF"/>
        </w:rPr>
        <w:t xml:space="preserve"> rokiem życia</w:t>
      </w:r>
      <w:r w:rsidR="00A75D1D">
        <w:rPr>
          <w:shd w:val="clear" w:color="auto" w:fill="FFFFFF"/>
        </w:rPr>
        <w:t>.</w:t>
      </w:r>
      <w:r w:rsidR="00A75D1D" w:rsidRPr="000638DE">
        <w:t xml:space="preserve"> </w:t>
      </w:r>
      <w:r w:rsidR="00A75D1D">
        <w:rPr>
          <w:shd w:val="clear" w:color="auto" w:fill="FFFFFF"/>
        </w:rPr>
        <w:t>O</w:t>
      </w:r>
      <w:r w:rsidR="00A75D1D" w:rsidRPr="000638DE">
        <w:rPr>
          <w:shd w:val="clear" w:color="auto" w:fill="FFFFFF"/>
        </w:rPr>
        <w:t>d 4</w:t>
      </w:r>
      <w:r w:rsidR="00A75D1D">
        <w:rPr>
          <w:shd w:val="clear" w:color="auto" w:fill="FFFFFF"/>
        </w:rPr>
        <w:t>3</w:t>
      </w:r>
      <w:r w:rsidR="00A75D1D" w:rsidRPr="000638DE">
        <w:rPr>
          <w:shd w:val="clear" w:color="auto" w:fill="FFFFFF"/>
        </w:rPr>
        <w:t xml:space="preserve"> roku życia </w:t>
      </w:r>
      <w:r w:rsidR="00A75D1D" w:rsidRPr="005F1CD4">
        <w:rPr>
          <w:shd w:val="clear" w:color="auto" w:fill="FFFFFF"/>
        </w:rPr>
        <w:t xml:space="preserve">przewaga liczebna kobiet </w:t>
      </w:r>
      <w:r w:rsidR="00A75D1D">
        <w:rPr>
          <w:shd w:val="clear" w:color="auto" w:fill="FFFFFF"/>
        </w:rPr>
        <w:t xml:space="preserve">w miastach </w:t>
      </w:r>
      <w:r w:rsidR="00A75D1D" w:rsidRPr="005F1CD4">
        <w:rPr>
          <w:shd w:val="clear" w:color="auto" w:fill="FFFFFF"/>
        </w:rPr>
        <w:t>była zdecydowana, z tendencją rosnącą w kolejnych</w:t>
      </w:r>
      <w:r w:rsidR="00A75D1D">
        <w:rPr>
          <w:shd w:val="clear" w:color="auto" w:fill="FFFFFF"/>
        </w:rPr>
        <w:t xml:space="preserve"> </w:t>
      </w:r>
      <w:r w:rsidR="00A75D1D" w:rsidRPr="005F1CD4">
        <w:rPr>
          <w:shd w:val="clear" w:color="auto" w:fill="FFFFFF"/>
        </w:rPr>
        <w:t xml:space="preserve">przedziałach wiekowych. </w:t>
      </w:r>
      <w:r w:rsidR="00A75D1D">
        <w:rPr>
          <w:shd w:val="clear" w:color="auto" w:fill="FFFFFF"/>
        </w:rPr>
        <w:t xml:space="preserve">Ogólnie (bez względu na miejsce zamieszkania) w </w:t>
      </w:r>
      <w:r w:rsidR="00A75D1D" w:rsidRPr="005F1CD4">
        <w:rPr>
          <w:shd w:val="clear" w:color="auto" w:fill="FFFFFF"/>
        </w:rPr>
        <w:t>przedziale 65 lat i więcej na 100 mężczyzn przypadało blisko</w:t>
      </w:r>
      <w:r w:rsidR="00A75D1D">
        <w:rPr>
          <w:shd w:val="clear" w:color="auto" w:fill="FFFFFF"/>
        </w:rPr>
        <w:t xml:space="preserve"> </w:t>
      </w:r>
      <w:r w:rsidR="00A75D1D" w:rsidRPr="005F1CD4">
        <w:rPr>
          <w:shd w:val="clear" w:color="auto" w:fill="FFFFFF"/>
        </w:rPr>
        <w:t xml:space="preserve">150 kobiet, </w:t>
      </w:r>
      <w:r w:rsidR="00A75D1D">
        <w:rPr>
          <w:shd w:val="clear" w:color="auto" w:fill="FFFFFF"/>
        </w:rPr>
        <w:t>n</w:t>
      </w:r>
      <w:r w:rsidR="00A75D1D" w:rsidRPr="005F1CD4">
        <w:rPr>
          <w:shd w:val="clear" w:color="auto" w:fill="FFFFFF"/>
        </w:rPr>
        <w:t>a</w:t>
      </w:r>
      <w:r w:rsidR="00A75D1D">
        <w:rPr>
          <w:shd w:val="clear" w:color="auto" w:fill="FFFFFF"/>
        </w:rPr>
        <w:t>tomiast</w:t>
      </w:r>
      <w:r w:rsidR="00A75D1D" w:rsidRPr="005F1CD4">
        <w:rPr>
          <w:shd w:val="clear" w:color="auto" w:fill="FFFFFF"/>
        </w:rPr>
        <w:t xml:space="preserve"> w wieku 80 lat i więcej przewaga kobiet była </w:t>
      </w:r>
      <w:r w:rsidR="00A75D1D">
        <w:rPr>
          <w:shd w:val="clear" w:color="auto" w:fill="FFFFFF"/>
        </w:rPr>
        <w:t xml:space="preserve">już </w:t>
      </w:r>
      <w:r w:rsidR="00A75D1D" w:rsidRPr="005F1CD4">
        <w:rPr>
          <w:shd w:val="clear" w:color="auto" w:fill="FFFFFF"/>
        </w:rPr>
        <w:t>ponad dwukrotna.</w:t>
      </w:r>
    </w:p>
    <w:p w:rsidR="003B6F90" w:rsidRDefault="003B6F90">
      <w:pPr>
        <w:spacing w:before="0" w:after="160" w:line="259" w:lineRule="auto"/>
        <w:rPr>
          <w:shd w:val="clear" w:color="auto" w:fill="FFFFFF"/>
        </w:rPr>
      </w:pPr>
      <w:r>
        <w:rPr>
          <w:shd w:val="clear" w:color="auto" w:fill="FFFFFF"/>
        </w:rPr>
        <w:br w:type="page"/>
      </w:r>
    </w:p>
    <w:p w:rsidR="00EA3F4A" w:rsidRPr="00B64307" w:rsidRDefault="003B6F90" w:rsidP="000571E8">
      <w:pPr>
        <w:pStyle w:val="Tytuwykresu0"/>
        <w:rPr>
          <w:rFonts w:eastAsia="Fira Sans"/>
        </w:rPr>
      </w:pPr>
      <w:r w:rsidRPr="003B6F90">
        <w:lastRenderedPageBreak/>
        <w:drawing>
          <wp:anchor distT="0" distB="180340" distL="114300" distR="114300" simplePos="0" relativeHeight="251787264" behindDoc="0" locked="0" layoutInCell="1" allowOverlap="1">
            <wp:simplePos x="0" y="0"/>
            <wp:positionH relativeFrom="column">
              <wp:posOffset>429194</wp:posOffset>
            </wp:positionH>
            <wp:positionV relativeFrom="paragraph">
              <wp:posOffset>381635</wp:posOffset>
            </wp:positionV>
            <wp:extent cx="4791600" cy="4730400"/>
            <wp:effectExtent l="0" t="0" r="9525" b="0"/>
            <wp:wrapTopAndBottom/>
            <wp:docPr id="24" name="Obraz 24" descr="Wykres piramidy wieku przedstawiający strukturę wieku ludności województwa wielkopolskiego w podziale ze względu na płeć według stanu na koniec marca 2021 r. Dodatkowo linia dla 2011 r. Widoczne zwężenie dołu piramidy wskazuje na niski przyrost, co prowadzi do starzenia się społeczeństwa (piramida regresywna). Przesunięcia strukturalne widoczne są w ujęciu ekonomicznych grup wieku. W porównaniu z NSP 2011 największe przyrosty obserwowano w grupie ludności w wieku poprodukcyj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600" cy="47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132">
        <w:rPr>
          <w:rFonts w:eastAsia="Fira Sans"/>
        </w:rPr>
        <w:t>Wykres 1.</w:t>
      </w:r>
      <w:r w:rsidR="00582B79" w:rsidRPr="00B64307">
        <w:rPr>
          <w:rFonts w:eastAsia="Fira Sans"/>
        </w:rPr>
        <w:t xml:space="preserve"> Ludność według płci i wieku</w:t>
      </w:r>
      <w:r w:rsidR="000571E8">
        <w:rPr>
          <w:rFonts w:eastAsia="Fira Sans"/>
        </w:rPr>
        <w:br/>
      </w:r>
      <w:r w:rsidR="000571E8">
        <w:rPr>
          <w:shd w:val="clear" w:color="auto" w:fill="FFFFFF"/>
        </w:rPr>
        <w:tab/>
        <w:t xml:space="preserve">   </w:t>
      </w:r>
      <w:r w:rsidR="000571E8" w:rsidRPr="000571E8">
        <w:rPr>
          <w:b w:val="0"/>
          <w:shd w:val="clear" w:color="auto" w:fill="FFFFFF"/>
        </w:rPr>
        <w:t>Stan w dniu 31 marca</w:t>
      </w:r>
    </w:p>
    <w:p w:rsidR="003B6F90" w:rsidRDefault="00AC025E" w:rsidP="00A75D1D">
      <w:pPr>
        <w:rPr>
          <w:shd w:val="clear" w:color="auto" w:fill="FFFFFF"/>
        </w:rPr>
      </w:pPr>
      <w:r w:rsidRPr="00823593">
        <w:rPr>
          <w:b/>
          <w:noProof/>
          <w:spacing w:val="-2"/>
          <w:szCs w:val="19"/>
          <w:lang w:eastAsia="pl-PL"/>
        </w:rPr>
        <mc:AlternateContent>
          <mc:Choice Requires="wps">
            <w:drawing>
              <wp:anchor distT="45720" distB="45720" distL="114300" distR="114300" simplePos="0" relativeHeight="251778048" behindDoc="1" locked="0" layoutInCell="1" allowOverlap="1" wp14:anchorId="06B767BA" wp14:editId="4512F1D5">
                <wp:simplePos x="0" y="0"/>
                <wp:positionH relativeFrom="column">
                  <wp:posOffset>5216096</wp:posOffset>
                </wp:positionH>
                <wp:positionV relativeFrom="page">
                  <wp:posOffset>6292215</wp:posOffset>
                </wp:positionV>
                <wp:extent cx="1799590" cy="1191260"/>
                <wp:effectExtent l="0" t="0" r="0" b="0"/>
                <wp:wrapTight wrapText="bothSides">
                  <wp:wrapPolygon edited="0">
                    <wp:start x="686" y="0"/>
                    <wp:lineTo x="686" y="21070"/>
                    <wp:lineTo x="20807" y="21070"/>
                    <wp:lineTo x="20807" y="0"/>
                    <wp:lineTo x="686" y="0"/>
                  </wp:wrapPolygon>
                </wp:wrapTight>
                <wp:docPr id="3" name="Pole tekstowe 3"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191260"/>
                        </a:xfrm>
                        <a:prstGeom prst="rect">
                          <a:avLst/>
                        </a:prstGeom>
                        <a:noFill/>
                        <a:ln w="9525">
                          <a:noFill/>
                          <a:miter lim="800000"/>
                          <a:headEnd/>
                          <a:tailEnd/>
                        </a:ln>
                      </wps:spPr>
                      <wps:txbx>
                        <w:txbxContent>
                          <w:p w:rsidR="00D44C8C" w:rsidRPr="00E95B8E" w:rsidRDefault="00D44C8C" w:rsidP="00D44C8C">
                            <w:pPr>
                              <w:pStyle w:val="tekstzboku"/>
                              <w:spacing w:before="0"/>
                              <w:rPr>
                                <w:bCs w:val="0"/>
                              </w:rPr>
                            </w:pPr>
                            <w:r>
                              <w:t xml:space="preserve">Liczebną przewagę kobiet obserwowano we wszystkich gminach miejskich, z wyjątkiem gminy Sulmierzyce, a najwyższe wartości współczynnik feminizacji osiągnął </w:t>
                            </w:r>
                            <w:r w:rsidRPr="00D44C8C">
                              <w:t>w miastach na prawach powiatu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767BA" id="Pole tekstowe 3" o:spid="_x0000_s1030" type="#_x0000_t202" alt="Lorem ipsum dolor sit amet, consectetur adipiscing elit" style="position:absolute;margin-left:410.7pt;margin-top:495.45pt;width:141.7pt;height:93.8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" filled="f" stroked="f">
                <v:textbox>
                  <w:txbxContent>
                    <w:p w:rsidR="00D44C8C" w:rsidRPr="00E95B8E" w:rsidRDefault="00D44C8C" w:rsidP="00D44C8C">
                      <w:pPr>
                        <w:pStyle w:val="tekstzboku"/>
                        <w:spacing w:before="0"/>
                        <w:rPr>
                          <w:bCs w:val="0"/>
                        </w:rPr>
                      </w:pPr>
                      <w:r>
                        <w:t xml:space="preserve">Liczebną przewagę kobiet obserwowano we wszystkich gminach miejskich, z wyjątkiem gminy Sulmierzyce, a najwyższe wartości współczynnik feminizacji osiągnął </w:t>
                      </w:r>
                      <w:r w:rsidRPr="00D44C8C">
                        <w:t>w miastach na prawach powiatu</w:t>
                      </w:r>
                    </w:p>
                  </w:txbxContent>
                </v:textbox>
                <w10:wrap type="tight" anchory="page"/>
              </v:shape>
            </w:pict>
          </mc:Fallback>
        </mc:AlternateContent>
      </w:r>
      <w:r w:rsidR="00A75D1D">
        <w:rPr>
          <w:shd w:val="clear" w:color="auto" w:fill="FFFFFF"/>
        </w:rPr>
        <w:t>Analiz</w:t>
      </w:r>
      <w:r w:rsidR="00457901">
        <w:rPr>
          <w:shd w:val="clear" w:color="auto" w:fill="FFFFFF"/>
        </w:rPr>
        <w:t xml:space="preserve">a </w:t>
      </w:r>
      <w:r w:rsidR="00A75D1D">
        <w:rPr>
          <w:shd w:val="clear" w:color="auto" w:fill="FFFFFF"/>
        </w:rPr>
        <w:t>struktur</w:t>
      </w:r>
      <w:r w:rsidR="00457901">
        <w:rPr>
          <w:shd w:val="clear" w:color="auto" w:fill="FFFFFF"/>
        </w:rPr>
        <w:t>y</w:t>
      </w:r>
      <w:r w:rsidR="00A75D1D">
        <w:rPr>
          <w:shd w:val="clear" w:color="auto" w:fill="FFFFFF"/>
        </w:rPr>
        <w:t xml:space="preserve"> ludności województwa wielkopolskiego według płci w przekroju jednostek terytorialnych</w:t>
      </w:r>
      <w:r w:rsidR="00457901">
        <w:rPr>
          <w:shd w:val="clear" w:color="auto" w:fill="FFFFFF"/>
        </w:rPr>
        <w:t xml:space="preserve"> wskazuje</w:t>
      </w:r>
      <w:r w:rsidR="00A75D1D">
        <w:rPr>
          <w:shd w:val="clear" w:color="auto" w:fill="FFFFFF"/>
        </w:rPr>
        <w:t>,</w:t>
      </w:r>
      <w:r w:rsidR="00457901">
        <w:rPr>
          <w:shd w:val="clear" w:color="auto" w:fill="FFFFFF"/>
        </w:rPr>
        <w:t xml:space="preserve"> że</w:t>
      </w:r>
      <w:r w:rsidR="00A75D1D">
        <w:rPr>
          <w:shd w:val="clear" w:color="auto" w:fill="FFFFFF"/>
        </w:rPr>
        <w:t xml:space="preserve"> </w:t>
      </w:r>
      <w:r w:rsidR="00A75D1D" w:rsidRPr="00E10376">
        <w:rPr>
          <w:shd w:val="clear" w:color="auto" w:fill="FFFFFF"/>
        </w:rPr>
        <w:t xml:space="preserve">współczynnik feminizacji </w:t>
      </w:r>
      <w:r w:rsidR="00457901" w:rsidRPr="00E10376">
        <w:rPr>
          <w:shd w:val="clear" w:color="auto" w:fill="FFFFFF"/>
        </w:rPr>
        <w:t>najw</w:t>
      </w:r>
      <w:r w:rsidR="00457901">
        <w:rPr>
          <w:shd w:val="clear" w:color="auto" w:fill="FFFFFF"/>
        </w:rPr>
        <w:t>yż</w:t>
      </w:r>
      <w:r w:rsidR="00457901" w:rsidRPr="00E10376">
        <w:rPr>
          <w:shd w:val="clear" w:color="auto" w:fill="FFFFFF"/>
        </w:rPr>
        <w:t xml:space="preserve">sze wartości </w:t>
      </w:r>
      <w:r w:rsidR="00A75D1D" w:rsidRPr="00E10376">
        <w:rPr>
          <w:shd w:val="clear" w:color="auto" w:fill="FFFFFF"/>
        </w:rPr>
        <w:t>osiąg</w:t>
      </w:r>
      <w:r w:rsidR="00A75D1D">
        <w:rPr>
          <w:shd w:val="clear" w:color="auto" w:fill="FFFFFF"/>
        </w:rPr>
        <w:t>nął</w:t>
      </w:r>
      <w:r w:rsidR="00A75D1D" w:rsidRPr="00E10376">
        <w:rPr>
          <w:shd w:val="clear" w:color="auto" w:fill="FFFFFF"/>
        </w:rPr>
        <w:t xml:space="preserve"> w </w:t>
      </w:r>
      <w:r w:rsidR="00A75D1D">
        <w:rPr>
          <w:shd w:val="clear" w:color="auto" w:fill="FFFFFF"/>
        </w:rPr>
        <w:t>gminach miejskich, w tym w</w:t>
      </w:r>
      <w:r w:rsidR="00457901">
        <w:rPr>
          <w:shd w:val="clear" w:color="auto" w:fill="FFFFFF"/>
        </w:rPr>
        <w:t xml:space="preserve"> </w:t>
      </w:r>
      <w:r w:rsidR="00A75D1D" w:rsidRPr="00E10376">
        <w:rPr>
          <w:shd w:val="clear" w:color="auto" w:fill="FFFFFF"/>
        </w:rPr>
        <w:t>miastach na prawach</w:t>
      </w:r>
      <w:r w:rsidR="00A75D1D">
        <w:rPr>
          <w:shd w:val="clear" w:color="auto" w:fill="FFFFFF"/>
        </w:rPr>
        <w:t xml:space="preserve"> powiatu:</w:t>
      </w:r>
      <w:r w:rsidR="00A75D1D" w:rsidRPr="00E10376">
        <w:rPr>
          <w:shd w:val="clear" w:color="auto" w:fill="FFFFFF"/>
        </w:rPr>
        <w:t xml:space="preserve"> Kaliszu</w:t>
      </w:r>
      <w:r w:rsidR="00A75D1D">
        <w:rPr>
          <w:shd w:val="clear" w:color="auto" w:fill="FFFFFF"/>
        </w:rPr>
        <w:t>, gdzie</w:t>
      </w:r>
      <w:r w:rsidR="00A75D1D" w:rsidRPr="00E10376">
        <w:rPr>
          <w:shd w:val="clear" w:color="auto" w:fill="FFFFFF"/>
        </w:rPr>
        <w:t xml:space="preserve"> na 100 mężczyzn przypadało </w:t>
      </w:r>
      <w:r w:rsidR="00A75D1D">
        <w:rPr>
          <w:shd w:val="clear" w:color="auto" w:fill="FFFFFF"/>
        </w:rPr>
        <w:t xml:space="preserve">ponad </w:t>
      </w:r>
      <w:r w:rsidR="00A75D1D" w:rsidRPr="00E10376">
        <w:rPr>
          <w:shd w:val="clear" w:color="auto" w:fill="FFFFFF"/>
        </w:rPr>
        <w:t>11</w:t>
      </w:r>
      <w:r w:rsidR="00A75D1D">
        <w:rPr>
          <w:shd w:val="clear" w:color="auto" w:fill="FFFFFF"/>
        </w:rPr>
        <w:t>5</w:t>
      </w:r>
      <w:r w:rsidR="00A75D1D" w:rsidRPr="00E10376">
        <w:rPr>
          <w:shd w:val="clear" w:color="auto" w:fill="FFFFFF"/>
        </w:rPr>
        <w:t xml:space="preserve"> kobiet</w:t>
      </w:r>
      <w:r w:rsidR="00A75D1D">
        <w:rPr>
          <w:shd w:val="clear" w:color="auto" w:fill="FFFFFF"/>
        </w:rPr>
        <w:t xml:space="preserve"> (115,2)</w:t>
      </w:r>
      <w:r w:rsidR="00A75D1D" w:rsidRPr="00E10376">
        <w:rPr>
          <w:shd w:val="clear" w:color="auto" w:fill="FFFFFF"/>
        </w:rPr>
        <w:t>, Poznaniu – 114,</w:t>
      </w:r>
      <w:r w:rsidR="00A75D1D">
        <w:rPr>
          <w:shd w:val="clear" w:color="auto" w:fill="FFFFFF"/>
        </w:rPr>
        <w:t>4</w:t>
      </w:r>
      <w:r w:rsidR="00A75D1D" w:rsidRPr="00E10376">
        <w:rPr>
          <w:shd w:val="clear" w:color="auto" w:fill="FFFFFF"/>
        </w:rPr>
        <w:t xml:space="preserve">, </w:t>
      </w:r>
      <w:r w:rsidR="00A75D1D">
        <w:rPr>
          <w:shd w:val="clear" w:color="auto" w:fill="FFFFFF"/>
        </w:rPr>
        <w:t xml:space="preserve">Koninie – 113,0 i Lesznie – 110,6, ale także m.in. </w:t>
      </w:r>
      <w:r w:rsidR="00457901">
        <w:rPr>
          <w:shd w:val="clear" w:color="auto" w:fill="FFFFFF"/>
        </w:rPr>
        <w:t>w </w:t>
      </w:r>
      <w:r w:rsidR="00A75D1D">
        <w:rPr>
          <w:shd w:val="clear" w:color="auto" w:fill="FFFFFF"/>
        </w:rPr>
        <w:t xml:space="preserve">Kole – 114,2, Turku – 112,7, Chodzieży – 111,5, Kościanie – 110,3 i Luboniu – 110,2. </w:t>
      </w:r>
      <w:r w:rsidR="00457901">
        <w:rPr>
          <w:shd w:val="clear" w:color="auto" w:fill="FFFFFF"/>
        </w:rPr>
        <w:t>Wyjątek w </w:t>
      </w:r>
      <w:r w:rsidR="00A75D1D" w:rsidRPr="004E576C">
        <w:rPr>
          <w:shd w:val="clear" w:color="auto" w:fill="FFFFFF"/>
        </w:rPr>
        <w:t xml:space="preserve">tej grupie </w:t>
      </w:r>
      <w:r w:rsidR="00A75D1D">
        <w:rPr>
          <w:shd w:val="clear" w:color="auto" w:fill="FFFFFF"/>
        </w:rPr>
        <w:t xml:space="preserve">gmin </w:t>
      </w:r>
      <w:r w:rsidR="00A75D1D" w:rsidRPr="004E576C">
        <w:rPr>
          <w:shd w:val="clear" w:color="auto" w:fill="FFFFFF"/>
        </w:rPr>
        <w:t>stanowił</w:t>
      </w:r>
      <w:r w:rsidR="00A75D1D">
        <w:rPr>
          <w:shd w:val="clear" w:color="auto" w:fill="FFFFFF"/>
        </w:rPr>
        <w:t>y</w:t>
      </w:r>
      <w:r w:rsidR="00A75D1D" w:rsidRPr="004E576C">
        <w:rPr>
          <w:shd w:val="clear" w:color="auto" w:fill="FFFFFF"/>
        </w:rPr>
        <w:t xml:space="preserve"> Sulmierzyce w powiecie</w:t>
      </w:r>
      <w:r w:rsidR="00A75D1D">
        <w:rPr>
          <w:shd w:val="clear" w:color="auto" w:fill="FFFFFF"/>
        </w:rPr>
        <w:t xml:space="preserve"> </w:t>
      </w:r>
      <w:r w:rsidR="00A75D1D" w:rsidRPr="004E576C">
        <w:rPr>
          <w:shd w:val="clear" w:color="auto" w:fill="FFFFFF"/>
        </w:rPr>
        <w:t xml:space="preserve">krotoszyńskim, </w:t>
      </w:r>
      <w:r w:rsidR="00A75D1D">
        <w:rPr>
          <w:shd w:val="clear" w:color="auto" w:fill="FFFFFF"/>
        </w:rPr>
        <w:t>gdzie</w:t>
      </w:r>
      <w:r w:rsidR="00A75D1D" w:rsidRPr="004E576C">
        <w:rPr>
          <w:shd w:val="clear" w:color="auto" w:fill="FFFFFF"/>
        </w:rPr>
        <w:t xml:space="preserve"> kobiet </w:t>
      </w:r>
      <w:r w:rsidR="00A75D1D">
        <w:rPr>
          <w:shd w:val="clear" w:color="auto" w:fill="FFFFFF"/>
        </w:rPr>
        <w:t>było nieco</w:t>
      </w:r>
      <w:r w:rsidR="00A75D1D" w:rsidRPr="004E576C">
        <w:rPr>
          <w:shd w:val="clear" w:color="auto" w:fill="FFFFFF"/>
        </w:rPr>
        <w:t xml:space="preserve"> mniej niż mężczyzn</w:t>
      </w:r>
      <w:r w:rsidR="00A75D1D">
        <w:rPr>
          <w:shd w:val="clear" w:color="auto" w:fill="FFFFFF"/>
        </w:rPr>
        <w:t>, a</w:t>
      </w:r>
      <w:r w:rsidR="00457901">
        <w:rPr>
          <w:shd w:val="clear" w:color="auto" w:fill="FFFFFF"/>
        </w:rPr>
        <w:t xml:space="preserve"> </w:t>
      </w:r>
      <w:r w:rsidR="00A75D1D" w:rsidRPr="004E576C">
        <w:rPr>
          <w:shd w:val="clear" w:color="auto" w:fill="FFFFFF"/>
        </w:rPr>
        <w:t xml:space="preserve">wskaźnik </w:t>
      </w:r>
      <w:r w:rsidR="00457901">
        <w:rPr>
          <w:shd w:val="clear" w:color="auto" w:fill="FFFFFF"/>
        </w:rPr>
        <w:t>kształtował się na poziomie</w:t>
      </w:r>
      <w:r w:rsidR="00A75D1D">
        <w:rPr>
          <w:shd w:val="clear" w:color="auto" w:fill="FFFFFF"/>
        </w:rPr>
        <w:t xml:space="preserve"> </w:t>
      </w:r>
      <w:r w:rsidR="00A75D1D" w:rsidRPr="004E576C">
        <w:rPr>
          <w:shd w:val="clear" w:color="auto" w:fill="FFFFFF"/>
        </w:rPr>
        <w:t>98,</w:t>
      </w:r>
      <w:r w:rsidR="00A75D1D">
        <w:rPr>
          <w:shd w:val="clear" w:color="auto" w:fill="FFFFFF"/>
        </w:rPr>
        <w:t>7</w:t>
      </w:r>
      <w:r w:rsidR="00A75D1D" w:rsidRPr="004E576C">
        <w:rPr>
          <w:shd w:val="clear" w:color="auto" w:fill="FFFFFF"/>
        </w:rPr>
        <w:t>.</w:t>
      </w:r>
      <w:r w:rsidR="00A75D1D">
        <w:rPr>
          <w:shd w:val="clear" w:color="auto" w:fill="FFFFFF"/>
        </w:rPr>
        <w:t xml:space="preserve"> W grupie </w:t>
      </w:r>
      <w:r w:rsidR="00457901">
        <w:rPr>
          <w:shd w:val="clear" w:color="auto" w:fill="FFFFFF"/>
        </w:rPr>
        <w:t xml:space="preserve">96 </w:t>
      </w:r>
      <w:r w:rsidR="00A75D1D">
        <w:rPr>
          <w:shd w:val="clear" w:color="auto" w:fill="FFFFFF"/>
        </w:rPr>
        <w:t>gmin miejsko-</w:t>
      </w:r>
      <w:r w:rsidR="00457901">
        <w:rPr>
          <w:shd w:val="clear" w:color="auto" w:fill="FFFFFF"/>
        </w:rPr>
        <w:br/>
        <w:t>-</w:t>
      </w:r>
      <w:r w:rsidR="00A75D1D">
        <w:rPr>
          <w:shd w:val="clear" w:color="auto" w:fill="FFFFFF"/>
        </w:rPr>
        <w:t xml:space="preserve">wiejskich </w:t>
      </w:r>
      <w:r w:rsidR="00457901">
        <w:rPr>
          <w:shd w:val="clear" w:color="auto" w:fill="FFFFFF"/>
        </w:rPr>
        <w:t>przeważnie</w:t>
      </w:r>
      <w:r w:rsidR="00A75D1D">
        <w:rPr>
          <w:shd w:val="clear" w:color="auto" w:fill="FFFFFF"/>
        </w:rPr>
        <w:t xml:space="preserve"> wię</w:t>
      </w:r>
      <w:r w:rsidR="00457901">
        <w:rPr>
          <w:shd w:val="clear" w:color="auto" w:fill="FFFFFF"/>
        </w:rPr>
        <w:t xml:space="preserve">cej było </w:t>
      </w:r>
      <w:r w:rsidR="00A75D1D">
        <w:rPr>
          <w:shd w:val="clear" w:color="auto" w:fill="FFFFFF"/>
        </w:rPr>
        <w:t>kobiet</w:t>
      </w:r>
      <w:r w:rsidR="00457901">
        <w:rPr>
          <w:shd w:val="clear" w:color="auto" w:fill="FFFFFF"/>
        </w:rPr>
        <w:t xml:space="preserve"> niż mężczyzn</w:t>
      </w:r>
      <w:r w:rsidR="00A75D1D">
        <w:rPr>
          <w:shd w:val="clear" w:color="auto" w:fill="FFFFFF"/>
        </w:rPr>
        <w:t>, przy czym najwyższ</w:t>
      </w:r>
      <w:r w:rsidR="00457901">
        <w:rPr>
          <w:shd w:val="clear" w:color="auto" w:fill="FFFFFF"/>
        </w:rPr>
        <w:t>e</w:t>
      </w:r>
      <w:r w:rsidR="00A75D1D">
        <w:rPr>
          <w:shd w:val="clear" w:color="auto" w:fill="FFFFFF"/>
        </w:rPr>
        <w:t xml:space="preserve"> wskaźnik</w:t>
      </w:r>
      <w:r w:rsidR="00457901">
        <w:rPr>
          <w:shd w:val="clear" w:color="auto" w:fill="FFFFFF"/>
        </w:rPr>
        <w:t>i</w:t>
      </w:r>
      <w:r w:rsidR="00A75D1D">
        <w:rPr>
          <w:shd w:val="clear" w:color="auto" w:fill="FFFFFF"/>
        </w:rPr>
        <w:t xml:space="preserve"> zanotowano w Rawiczu – 107,3 oraz Jarocinie i Szamotułach – po 107,0. </w:t>
      </w:r>
      <w:r w:rsidR="00457901">
        <w:rPr>
          <w:shd w:val="clear" w:color="auto" w:fill="FFFFFF"/>
        </w:rPr>
        <w:t>Mężczyźni większy odsetek stanowili w</w:t>
      </w:r>
      <w:r w:rsidR="00A75D1D">
        <w:rPr>
          <w:shd w:val="clear" w:color="auto" w:fill="FFFFFF"/>
        </w:rPr>
        <w:t xml:space="preserve"> 23 gminach tej kategorii. Największą ich przewagę zaobserwowano w Gołańczy (powiat wągrowiecki) i Łobżenicy (pilski), gdzie </w:t>
      </w:r>
      <w:r w:rsidR="00A75D1D" w:rsidRPr="00E10376">
        <w:rPr>
          <w:shd w:val="clear" w:color="auto" w:fill="FFFFFF"/>
        </w:rPr>
        <w:t>współczynnik feminizacji</w:t>
      </w:r>
      <w:r w:rsidR="00A75D1D">
        <w:rPr>
          <w:shd w:val="clear" w:color="auto" w:fill="FFFFFF"/>
        </w:rPr>
        <w:t xml:space="preserve"> wyniósł odpowiednio 95,7 i 96,7. </w:t>
      </w:r>
      <w:r w:rsidR="00A75D1D" w:rsidRPr="00EB3CE9">
        <w:rPr>
          <w:shd w:val="clear" w:color="auto" w:fill="FFFFFF"/>
        </w:rPr>
        <w:t xml:space="preserve">W </w:t>
      </w:r>
      <w:r w:rsidR="00A75D1D">
        <w:rPr>
          <w:shd w:val="clear" w:color="auto" w:fill="FFFFFF"/>
        </w:rPr>
        <w:t xml:space="preserve">grupie </w:t>
      </w:r>
      <w:r w:rsidR="00A75D1D" w:rsidRPr="00EB3CE9">
        <w:rPr>
          <w:shd w:val="clear" w:color="auto" w:fill="FFFFFF"/>
        </w:rPr>
        <w:t>gmin</w:t>
      </w:r>
      <w:r w:rsidR="00A75D1D">
        <w:rPr>
          <w:shd w:val="clear" w:color="auto" w:fill="FFFFFF"/>
        </w:rPr>
        <w:t xml:space="preserve"> </w:t>
      </w:r>
      <w:r w:rsidR="00A75D1D" w:rsidRPr="00EB3CE9">
        <w:rPr>
          <w:shd w:val="clear" w:color="auto" w:fill="FFFFFF"/>
        </w:rPr>
        <w:t xml:space="preserve">wiejskich </w:t>
      </w:r>
      <w:r w:rsidR="00A75D1D">
        <w:rPr>
          <w:shd w:val="clear" w:color="auto" w:fill="FFFFFF"/>
        </w:rPr>
        <w:t>stwierdzono najwięcej jednostek, w których była zachowana</w:t>
      </w:r>
      <w:r w:rsidR="00A75D1D" w:rsidRPr="00EB3CE9">
        <w:rPr>
          <w:shd w:val="clear" w:color="auto" w:fill="FFFFFF"/>
        </w:rPr>
        <w:t xml:space="preserve"> równowa</w:t>
      </w:r>
      <w:r w:rsidR="00A75D1D">
        <w:rPr>
          <w:shd w:val="clear" w:color="auto" w:fill="FFFFFF"/>
        </w:rPr>
        <w:t>ga</w:t>
      </w:r>
      <w:r w:rsidR="00A75D1D" w:rsidRPr="00EB3CE9">
        <w:rPr>
          <w:shd w:val="clear" w:color="auto" w:fill="FFFFFF"/>
        </w:rPr>
        <w:t xml:space="preserve"> płci (</w:t>
      </w:r>
      <w:r w:rsidR="00A75D1D">
        <w:rPr>
          <w:shd w:val="clear" w:color="auto" w:fill="FFFFFF"/>
        </w:rPr>
        <w:t>lub stan najbardziej do niej zbliżony). W tej kategorii gmin kobiety n</w:t>
      </w:r>
      <w:r w:rsidR="00A75D1D" w:rsidRPr="002761C0">
        <w:rPr>
          <w:shd w:val="clear" w:color="auto" w:fill="FFFFFF"/>
        </w:rPr>
        <w:t xml:space="preserve">ajwiększą przewagę liczebną </w:t>
      </w:r>
      <w:r w:rsidR="00A75D1D">
        <w:rPr>
          <w:shd w:val="clear" w:color="auto" w:fill="FFFFFF"/>
        </w:rPr>
        <w:t>miały w</w:t>
      </w:r>
      <w:r w:rsidR="00A75D1D" w:rsidRPr="002761C0">
        <w:rPr>
          <w:shd w:val="clear" w:color="auto" w:fill="FFFFFF"/>
        </w:rPr>
        <w:t xml:space="preserve"> Lisk</w:t>
      </w:r>
      <w:r w:rsidR="00A75D1D">
        <w:rPr>
          <w:shd w:val="clear" w:color="auto" w:fill="FFFFFF"/>
        </w:rPr>
        <w:t>o</w:t>
      </w:r>
      <w:r w:rsidR="00A75D1D" w:rsidRPr="002761C0">
        <w:rPr>
          <w:shd w:val="clear" w:color="auto" w:fill="FFFFFF"/>
        </w:rPr>
        <w:t>w</w:t>
      </w:r>
      <w:r w:rsidR="00A75D1D">
        <w:rPr>
          <w:shd w:val="clear" w:color="auto" w:fill="FFFFFF"/>
        </w:rPr>
        <w:t>ie</w:t>
      </w:r>
      <w:r w:rsidR="00A75D1D" w:rsidRPr="002761C0">
        <w:rPr>
          <w:shd w:val="clear" w:color="auto" w:fill="FFFFFF"/>
        </w:rPr>
        <w:t xml:space="preserve"> </w:t>
      </w:r>
      <w:r w:rsidR="00A75D1D">
        <w:rPr>
          <w:shd w:val="clear" w:color="auto" w:fill="FFFFFF"/>
        </w:rPr>
        <w:t>(</w:t>
      </w:r>
      <w:r w:rsidR="00A75D1D" w:rsidRPr="002761C0">
        <w:rPr>
          <w:shd w:val="clear" w:color="auto" w:fill="FFFFFF"/>
        </w:rPr>
        <w:t>w powiecie kaliskim</w:t>
      </w:r>
      <w:r w:rsidR="00A75D1D">
        <w:rPr>
          <w:shd w:val="clear" w:color="auto" w:fill="FFFFFF"/>
        </w:rPr>
        <w:t>) –</w:t>
      </w:r>
      <w:r w:rsidR="00A75D1D" w:rsidRPr="002761C0">
        <w:rPr>
          <w:shd w:val="clear" w:color="auto" w:fill="FFFFFF"/>
        </w:rPr>
        <w:t xml:space="preserve"> </w:t>
      </w:r>
      <w:r w:rsidR="00A75D1D">
        <w:rPr>
          <w:shd w:val="clear" w:color="auto" w:fill="FFFFFF"/>
        </w:rPr>
        <w:t>107</w:t>
      </w:r>
      <w:r w:rsidR="00A75D1D" w:rsidRPr="002761C0">
        <w:rPr>
          <w:shd w:val="clear" w:color="auto" w:fill="FFFFFF"/>
        </w:rPr>
        <w:t xml:space="preserve">,1, </w:t>
      </w:r>
      <w:r w:rsidR="00A75D1D">
        <w:rPr>
          <w:shd w:val="clear" w:color="auto" w:fill="FFFFFF"/>
        </w:rPr>
        <w:t>Tarnowie</w:t>
      </w:r>
      <w:r w:rsidR="00A75D1D" w:rsidRPr="002761C0">
        <w:rPr>
          <w:shd w:val="clear" w:color="auto" w:fill="FFFFFF"/>
        </w:rPr>
        <w:t xml:space="preserve"> Podgórn</w:t>
      </w:r>
      <w:r w:rsidR="00A75D1D">
        <w:rPr>
          <w:shd w:val="clear" w:color="auto" w:fill="FFFFFF"/>
        </w:rPr>
        <w:t>ym, Suchym Lesie i Komornikach</w:t>
      </w:r>
      <w:r w:rsidR="00A75D1D" w:rsidRPr="002761C0">
        <w:rPr>
          <w:shd w:val="clear" w:color="auto" w:fill="FFFFFF"/>
        </w:rPr>
        <w:t xml:space="preserve"> </w:t>
      </w:r>
      <w:r w:rsidR="00A75D1D">
        <w:rPr>
          <w:shd w:val="clear" w:color="auto" w:fill="FFFFFF"/>
        </w:rPr>
        <w:t>(</w:t>
      </w:r>
      <w:r w:rsidR="00A75D1D" w:rsidRPr="002761C0">
        <w:rPr>
          <w:shd w:val="clear" w:color="auto" w:fill="FFFFFF"/>
        </w:rPr>
        <w:t>w poznańskim</w:t>
      </w:r>
      <w:r w:rsidR="00A75D1D">
        <w:rPr>
          <w:shd w:val="clear" w:color="auto" w:fill="FFFFFF"/>
        </w:rPr>
        <w:t>) – odpowiednio:</w:t>
      </w:r>
      <w:r w:rsidR="00A75D1D" w:rsidRPr="002761C0">
        <w:rPr>
          <w:shd w:val="clear" w:color="auto" w:fill="FFFFFF"/>
        </w:rPr>
        <w:t xml:space="preserve"> 10</w:t>
      </w:r>
      <w:r w:rsidR="00A75D1D">
        <w:rPr>
          <w:shd w:val="clear" w:color="auto" w:fill="FFFFFF"/>
        </w:rPr>
        <w:t>6,4, 106,2 i 105,1 oraz Brudzew</w:t>
      </w:r>
      <w:r w:rsidR="0064497E">
        <w:rPr>
          <w:shd w:val="clear" w:color="auto" w:fill="FFFFFF"/>
        </w:rPr>
        <w:t>ie</w:t>
      </w:r>
      <w:r w:rsidR="00A75D1D">
        <w:rPr>
          <w:shd w:val="clear" w:color="auto" w:fill="FFFFFF"/>
        </w:rPr>
        <w:t xml:space="preserve"> (w tureckim) – 105,6. W niemal połowie spośród 111 gmin </w:t>
      </w:r>
      <w:r w:rsidR="00A75D1D" w:rsidRPr="00EB3CE9">
        <w:rPr>
          <w:shd w:val="clear" w:color="auto" w:fill="FFFFFF"/>
        </w:rPr>
        <w:t xml:space="preserve">wiejskich </w:t>
      </w:r>
      <w:r w:rsidR="00A75D1D">
        <w:rPr>
          <w:shd w:val="clear" w:color="auto" w:fill="FFFFFF"/>
        </w:rPr>
        <w:t>przeważali m</w:t>
      </w:r>
      <w:r w:rsidR="00A75D1D" w:rsidRPr="002761C0">
        <w:rPr>
          <w:shd w:val="clear" w:color="auto" w:fill="FFFFFF"/>
        </w:rPr>
        <w:t>ężczyźni</w:t>
      </w:r>
      <w:r w:rsidR="00A75D1D">
        <w:rPr>
          <w:shd w:val="clear" w:color="auto" w:fill="FFFFFF"/>
        </w:rPr>
        <w:t xml:space="preserve">, ale </w:t>
      </w:r>
      <w:r w:rsidR="0064497E">
        <w:rPr>
          <w:shd w:val="clear" w:color="auto" w:fill="FFFFFF"/>
        </w:rPr>
        <w:t xml:space="preserve">ich dominacja </w:t>
      </w:r>
      <w:r w:rsidR="00A75D1D">
        <w:rPr>
          <w:shd w:val="clear" w:color="auto" w:fill="FFFFFF"/>
        </w:rPr>
        <w:t xml:space="preserve">najwyraźniej </w:t>
      </w:r>
      <w:r w:rsidR="0064497E">
        <w:rPr>
          <w:shd w:val="clear" w:color="auto" w:fill="FFFFFF"/>
        </w:rPr>
        <w:t xml:space="preserve">zaznaczyła się </w:t>
      </w:r>
      <w:r w:rsidR="00A75D1D" w:rsidRPr="002761C0">
        <w:rPr>
          <w:shd w:val="clear" w:color="auto" w:fill="FFFFFF"/>
        </w:rPr>
        <w:t>w gmin</w:t>
      </w:r>
      <w:r w:rsidR="00A75D1D">
        <w:rPr>
          <w:shd w:val="clear" w:color="auto" w:fill="FFFFFF"/>
        </w:rPr>
        <w:t>ach</w:t>
      </w:r>
      <w:r w:rsidR="00A75D1D" w:rsidRPr="008E112F">
        <w:rPr>
          <w:shd w:val="clear" w:color="auto" w:fill="FFFFFF"/>
        </w:rPr>
        <w:t xml:space="preserve"> </w:t>
      </w:r>
      <w:r w:rsidR="00A75D1D" w:rsidRPr="002761C0">
        <w:rPr>
          <w:shd w:val="clear" w:color="auto" w:fill="FFFFFF"/>
        </w:rPr>
        <w:t xml:space="preserve">Pakosław </w:t>
      </w:r>
      <w:r w:rsidR="00A75D1D">
        <w:rPr>
          <w:shd w:val="clear" w:color="auto" w:fill="FFFFFF"/>
        </w:rPr>
        <w:t>(</w:t>
      </w:r>
      <w:r w:rsidR="00A75D1D" w:rsidRPr="002761C0">
        <w:rPr>
          <w:shd w:val="clear" w:color="auto" w:fill="FFFFFF"/>
        </w:rPr>
        <w:t>w powiecie rawickim</w:t>
      </w:r>
      <w:r w:rsidR="00A75D1D">
        <w:rPr>
          <w:shd w:val="clear" w:color="auto" w:fill="FFFFFF"/>
        </w:rPr>
        <w:t xml:space="preserve">) oraz </w:t>
      </w:r>
      <w:r w:rsidR="00A75D1D" w:rsidRPr="002761C0">
        <w:rPr>
          <w:shd w:val="clear" w:color="auto" w:fill="FFFFFF"/>
        </w:rPr>
        <w:t xml:space="preserve">Tarnówka </w:t>
      </w:r>
      <w:r w:rsidR="00A75D1D">
        <w:rPr>
          <w:shd w:val="clear" w:color="auto" w:fill="FFFFFF"/>
        </w:rPr>
        <w:t xml:space="preserve">(w </w:t>
      </w:r>
      <w:r w:rsidR="00A75D1D" w:rsidRPr="002761C0">
        <w:rPr>
          <w:shd w:val="clear" w:color="auto" w:fill="FFFFFF"/>
        </w:rPr>
        <w:t>złotowskim</w:t>
      </w:r>
      <w:r w:rsidR="00A75D1D">
        <w:rPr>
          <w:shd w:val="clear" w:color="auto" w:fill="FFFFFF"/>
        </w:rPr>
        <w:t xml:space="preserve">), gdzie </w:t>
      </w:r>
      <w:r w:rsidR="00A75D1D" w:rsidRPr="00E10376">
        <w:rPr>
          <w:shd w:val="clear" w:color="auto" w:fill="FFFFFF"/>
        </w:rPr>
        <w:t>współczynnik feminizacji</w:t>
      </w:r>
      <w:r w:rsidR="00A75D1D">
        <w:rPr>
          <w:shd w:val="clear" w:color="auto" w:fill="FFFFFF"/>
        </w:rPr>
        <w:t xml:space="preserve"> przyjął najniższe wartości </w:t>
      </w:r>
      <w:r w:rsidR="00C24A54">
        <w:rPr>
          <w:shd w:val="clear" w:color="auto" w:fill="FFFFFF"/>
        </w:rPr>
        <w:t>(</w:t>
      </w:r>
      <w:r w:rsidR="00A75D1D">
        <w:rPr>
          <w:shd w:val="clear" w:color="auto" w:fill="FFFFFF"/>
        </w:rPr>
        <w:t>odpowiednio</w:t>
      </w:r>
      <w:r w:rsidR="00A75D1D" w:rsidRPr="002761C0">
        <w:rPr>
          <w:shd w:val="clear" w:color="auto" w:fill="FFFFFF"/>
        </w:rPr>
        <w:t xml:space="preserve"> </w:t>
      </w:r>
      <w:r w:rsidR="00A75D1D">
        <w:rPr>
          <w:shd w:val="clear" w:color="auto" w:fill="FFFFFF"/>
        </w:rPr>
        <w:t>92,9 i 94,7</w:t>
      </w:r>
      <w:r w:rsidR="00C24A54">
        <w:rPr>
          <w:shd w:val="clear" w:color="auto" w:fill="FFFFFF"/>
        </w:rPr>
        <w:t>)</w:t>
      </w:r>
      <w:r w:rsidR="00A75D1D">
        <w:rPr>
          <w:shd w:val="clear" w:color="auto" w:fill="FFFFFF"/>
        </w:rPr>
        <w:t>.</w:t>
      </w:r>
    </w:p>
    <w:p w:rsidR="003B6F90" w:rsidRDefault="003B6F90">
      <w:pPr>
        <w:spacing w:before="0" w:after="160" w:line="259" w:lineRule="auto"/>
        <w:rPr>
          <w:shd w:val="clear" w:color="auto" w:fill="FFFFFF"/>
        </w:rPr>
      </w:pPr>
      <w:r>
        <w:rPr>
          <w:shd w:val="clear" w:color="auto" w:fill="FFFFFF"/>
        </w:rPr>
        <w:br w:type="page"/>
      </w:r>
    </w:p>
    <w:p w:rsidR="003508CA" w:rsidRPr="00103AEC" w:rsidRDefault="003B6F90" w:rsidP="0064497E">
      <w:pPr>
        <w:pStyle w:val="Tytuwykresu0"/>
        <w:rPr>
          <w:b w:val="0"/>
          <w:shd w:val="clear" w:color="auto" w:fill="FFFFFF"/>
        </w:rPr>
      </w:pPr>
      <w:r w:rsidRPr="003B6F90">
        <w:lastRenderedPageBreak/>
        <w:drawing>
          <wp:anchor distT="0" distB="180340" distL="114300" distR="114300" simplePos="0" relativeHeight="251788288" behindDoc="0" locked="0" layoutInCell="1" allowOverlap="1">
            <wp:simplePos x="0" y="0"/>
            <wp:positionH relativeFrom="column">
              <wp:posOffset>436729</wp:posOffset>
            </wp:positionH>
            <wp:positionV relativeFrom="paragraph">
              <wp:posOffset>368490</wp:posOffset>
            </wp:positionV>
            <wp:extent cx="4312800" cy="5454000"/>
            <wp:effectExtent l="0" t="0" r="0" b="0"/>
            <wp:wrapTopAndBottom/>
            <wp:docPr id="25" name="Obraz 25" descr="Kartogram – gminy województwa wielkopolskiego, przedstawiający wskaźnik feminizacji w 2021 r. Cieniowanie (7 przedziałów) – wskaźnik feminizacji (kobiety na 100 mężczyzn). Dodatkowo wartość dla województwa wielkopolskiego (106 kobiet na 100 mężczy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2800" cy="54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97E">
        <w:rPr>
          <w:shd w:val="clear" w:color="auto" w:fill="FFFFFF"/>
        </w:rPr>
        <w:t xml:space="preserve">Mapa </w:t>
      </w:r>
      <w:r w:rsidR="000571E8">
        <w:rPr>
          <w:shd w:val="clear" w:color="auto" w:fill="FFFFFF"/>
        </w:rPr>
        <w:t>3</w:t>
      </w:r>
      <w:r w:rsidR="0064497E">
        <w:rPr>
          <w:shd w:val="clear" w:color="auto" w:fill="FFFFFF"/>
        </w:rPr>
        <w:t xml:space="preserve">. </w:t>
      </w:r>
      <w:r w:rsidR="0064497E" w:rsidRPr="0064497E">
        <w:rPr>
          <w:shd w:val="clear" w:color="auto" w:fill="FFFFFF"/>
        </w:rPr>
        <w:t>Wskaźnik feminizacji w 20</w:t>
      </w:r>
      <w:r w:rsidR="00103AEC">
        <w:rPr>
          <w:shd w:val="clear" w:color="auto" w:fill="FFFFFF"/>
        </w:rPr>
        <w:t xml:space="preserve">21 r. </w:t>
      </w:r>
      <w:r w:rsidR="00103AEC">
        <w:rPr>
          <w:shd w:val="clear" w:color="auto" w:fill="FFFFFF"/>
        </w:rPr>
        <w:br/>
      </w:r>
      <w:r w:rsidR="00103AEC">
        <w:rPr>
          <w:shd w:val="clear" w:color="auto" w:fill="FFFFFF"/>
        </w:rPr>
        <w:tab/>
      </w:r>
      <w:r w:rsidR="00103AEC" w:rsidRPr="00103AEC">
        <w:rPr>
          <w:b w:val="0"/>
          <w:shd w:val="clear" w:color="auto" w:fill="FFFFFF"/>
        </w:rPr>
        <w:t>S</w:t>
      </w:r>
      <w:r w:rsidR="0064497E" w:rsidRPr="00103AEC">
        <w:rPr>
          <w:b w:val="0"/>
          <w:shd w:val="clear" w:color="auto" w:fill="FFFFFF"/>
        </w:rPr>
        <w:t>tan w dniu 31 marca</w:t>
      </w:r>
    </w:p>
    <w:p w:rsidR="00C24A54" w:rsidRDefault="00C24A54" w:rsidP="00E8014E">
      <w:pPr>
        <w:rPr>
          <w:shd w:val="clear" w:color="auto" w:fill="FFFFFF"/>
        </w:rPr>
      </w:pPr>
      <w:r>
        <w:rPr>
          <w:shd w:val="clear" w:color="auto" w:fill="FFFFFF"/>
        </w:rPr>
        <w:t>Zestawienie wyników dwóch kolejnych spisów powszechnych pod kątem struktury wiek</w:t>
      </w:r>
      <w:r w:rsidR="00A838F8">
        <w:rPr>
          <w:shd w:val="clear" w:color="auto" w:fill="FFFFFF"/>
        </w:rPr>
        <w:t>u</w:t>
      </w:r>
      <w:r>
        <w:rPr>
          <w:shd w:val="clear" w:color="auto" w:fill="FFFFFF"/>
        </w:rPr>
        <w:t xml:space="preserve"> ludności pokazuje postęp</w:t>
      </w:r>
      <w:r w:rsidR="00553A34">
        <w:rPr>
          <w:shd w:val="clear" w:color="auto" w:fill="FFFFFF"/>
        </w:rPr>
        <w:t>owanie procesu starzenia</w:t>
      </w:r>
      <w:r w:rsidR="00E4698B">
        <w:rPr>
          <w:shd w:val="clear" w:color="auto" w:fill="FFFFFF"/>
        </w:rPr>
        <w:t xml:space="preserve"> się </w:t>
      </w:r>
      <w:r w:rsidR="00E4698B" w:rsidRPr="00E4698B">
        <w:rPr>
          <w:shd w:val="clear" w:color="auto" w:fill="FFFFFF"/>
        </w:rPr>
        <w:t>mieszkańców województwa</w:t>
      </w:r>
      <w:r w:rsidR="00E4698B">
        <w:rPr>
          <w:shd w:val="clear" w:color="auto" w:fill="FFFFFF"/>
        </w:rPr>
        <w:t xml:space="preserve"> wielkopolskiego. </w:t>
      </w:r>
      <w:r w:rsidR="00462A8A">
        <w:rPr>
          <w:shd w:val="clear" w:color="auto" w:fill="FFFFFF"/>
        </w:rPr>
        <w:t>Przesunięcia</w:t>
      </w:r>
      <w:r w:rsidR="004F52B2">
        <w:rPr>
          <w:shd w:val="clear" w:color="auto" w:fill="FFFFFF"/>
        </w:rPr>
        <w:t xml:space="preserve"> strukturalne </w:t>
      </w:r>
      <w:r w:rsidR="00E4698B">
        <w:rPr>
          <w:shd w:val="clear" w:color="auto" w:fill="FFFFFF"/>
        </w:rPr>
        <w:t xml:space="preserve">widoczne są </w:t>
      </w:r>
      <w:r w:rsidR="004F52B2">
        <w:rPr>
          <w:shd w:val="clear" w:color="auto" w:fill="FFFFFF"/>
        </w:rPr>
        <w:t>czy to w ujęciu biologicznych czy ekonomicznych grup wieku.</w:t>
      </w:r>
      <w:r w:rsidR="00E4698B">
        <w:rPr>
          <w:shd w:val="clear" w:color="auto" w:fill="FFFFFF"/>
        </w:rPr>
        <w:t xml:space="preserve"> </w:t>
      </w:r>
      <w:r w:rsidR="00FD4A62">
        <w:rPr>
          <w:shd w:val="clear" w:color="auto" w:fill="FFFFFF"/>
        </w:rPr>
        <w:t>W ciągu dekady</w:t>
      </w:r>
      <w:r w:rsidR="00FD4A62" w:rsidRPr="00243772">
        <w:rPr>
          <w:shd w:val="clear" w:color="auto" w:fill="FFFFFF"/>
        </w:rPr>
        <w:t xml:space="preserve"> </w:t>
      </w:r>
      <w:r w:rsidR="00FD4A62">
        <w:rPr>
          <w:shd w:val="clear" w:color="auto" w:fill="FFFFFF"/>
        </w:rPr>
        <w:t xml:space="preserve">stosunkowo najmniej zmieniła się grupa obejmująca ludność w wieku przedprodukcyjnym (0–17 lat). Jej liczebność w porównaniu z 2011 r. </w:t>
      </w:r>
      <w:r w:rsidR="003A4EE5">
        <w:rPr>
          <w:shd w:val="clear" w:color="auto" w:fill="FFFFFF"/>
        </w:rPr>
        <w:t>zwiększył</w:t>
      </w:r>
      <w:r w:rsidR="00FD4A62">
        <w:rPr>
          <w:shd w:val="clear" w:color="auto" w:fill="FFFFFF"/>
        </w:rPr>
        <w:t>a</w:t>
      </w:r>
      <w:r w:rsidR="003A4EE5">
        <w:rPr>
          <w:shd w:val="clear" w:color="auto" w:fill="FFFFFF"/>
        </w:rPr>
        <w:t xml:space="preserve"> się nieznacznie (o 4,0 tys., tj. o 0,6%), </w:t>
      </w:r>
      <w:r w:rsidR="00D00383">
        <w:rPr>
          <w:shd w:val="clear" w:color="auto" w:fill="FFFFFF"/>
        </w:rPr>
        <w:t>natomiast</w:t>
      </w:r>
      <w:r w:rsidR="003A4EE5">
        <w:rPr>
          <w:shd w:val="clear" w:color="auto" w:fill="FFFFFF"/>
        </w:rPr>
        <w:t xml:space="preserve"> udział</w:t>
      </w:r>
      <w:r w:rsidR="00FD4A62">
        <w:rPr>
          <w:shd w:val="clear" w:color="auto" w:fill="FFFFFF"/>
        </w:rPr>
        <w:t xml:space="preserve"> </w:t>
      </w:r>
      <w:r w:rsidR="003A4EE5">
        <w:rPr>
          <w:shd w:val="clear" w:color="auto" w:fill="FFFFFF"/>
        </w:rPr>
        <w:t xml:space="preserve">w liczbie ludności ogółem zmniejszył się o 0,2 p.proc. </w:t>
      </w:r>
      <w:r w:rsidR="0069637D">
        <w:rPr>
          <w:shd w:val="clear" w:color="auto" w:fill="FFFFFF"/>
        </w:rPr>
        <w:t xml:space="preserve">do 19,6% (w kraju o 0,3 p.proc do 18,4%). </w:t>
      </w:r>
      <w:r w:rsidR="00D00383">
        <w:rPr>
          <w:shd w:val="clear" w:color="auto" w:fill="FFFFFF"/>
        </w:rPr>
        <w:t xml:space="preserve">Znacznie </w:t>
      </w:r>
      <w:r w:rsidR="00462A8A">
        <w:rPr>
          <w:shd w:val="clear" w:color="auto" w:fill="FFFFFF"/>
        </w:rPr>
        <w:t>większe zmiany dotyczyły ludności w wieku produkcyjnym,</w:t>
      </w:r>
      <w:r w:rsidR="00462A8A" w:rsidRPr="00462A8A">
        <w:rPr>
          <w:shd w:val="clear" w:color="auto" w:fill="FFFFFF"/>
        </w:rPr>
        <w:t xml:space="preserve"> </w:t>
      </w:r>
      <w:r w:rsidR="00462A8A" w:rsidRPr="00243772">
        <w:rPr>
          <w:shd w:val="clear" w:color="auto" w:fill="FFFFFF"/>
        </w:rPr>
        <w:t>tj. m</w:t>
      </w:r>
      <w:r w:rsidR="00462A8A">
        <w:rPr>
          <w:shd w:val="clear" w:color="auto" w:fill="FFFFFF"/>
        </w:rPr>
        <w:t>ęż</w:t>
      </w:r>
      <w:r w:rsidR="00462A8A" w:rsidRPr="00243772">
        <w:rPr>
          <w:shd w:val="clear" w:color="auto" w:fill="FFFFFF"/>
        </w:rPr>
        <w:t xml:space="preserve">czyzn w wieku </w:t>
      </w:r>
      <w:r w:rsidR="001B79FF">
        <w:rPr>
          <w:shd w:val="clear" w:color="auto" w:fill="FFFFFF"/>
        </w:rPr>
        <w:t>18</w:t>
      </w:r>
      <w:r w:rsidR="00462A8A" w:rsidRPr="00243772">
        <w:rPr>
          <w:shd w:val="clear" w:color="auto" w:fill="FFFFFF"/>
        </w:rPr>
        <w:t xml:space="preserve">–64 lata i kobiet </w:t>
      </w:r>
      <w:r w:rsidR="001B79FF">
        <w:rPr>
          <w:shd w:val="clear" w:color="auto" w:fill="FFFFFF"/>
        </w:rPr>
        <w:t>18</w:t>
      </w:r>
      <w:r w:rsidR="00462A8A" w:rsidRPr="00243772">
        <w:rPr>
          <w:shd w:val="clear" w:color="auto" w:fill="FFFFFF"/>
        </w:rPr>
        <w:t>–59 lat</w:t>
      </w:r>
      <w:r w:rsidR="00462A8A">
        <w:rPr>
          <w:shd w:val="clear" w:color="auto" w:fill="FFFFFF"/>
        </w:rPr>
        <w:t>.</w:t>
      </w:r>
      <w:r w:rsidR="00243772" w:rsidRPr="00243772">
        <w:rPr>
          <w:shd w:val="clear" w:color="auto" w:fill="FFFFFF"/>
        </w:rPr>
        <w:t xml:space="preserve"> </w:t>
      </w:r>
      <w:r w:rsidR="00D00383">
        <w:rPr>
          <w:shd w:val="clear" w:color="auto" w:fill="FFFFFF"/>
        </w:rPr>
        <w:t>W</w:t>
      </w:r>
      <w:r w:rsidR="00462A8A">
        <w:rPr>
          <w:shd w:val="clear" w:color="auto" w:fill="FFFFFF"/>
        </w:rPr>
        <w:t xml:space="preserve"> grup</w:t>
      </w:r>
      <w:r w:rsidR="00D00383">
        <w:rPr>
          <w:shd w:val="clear" w:color="auto" w:fill="FFFFFF"/>
        </w:rPr>
        <w:t xml:space="preserve">ie tej ubyło </w:t>
      </w:r>
      <w:r w:rsidR="00462A8A">
        <w:rPr>
          <w:shd w:val="clear" w:color="auto" w:fill="FFFFFF"/>
        </w:rPr>
        <w:t xml:space="preserve">142,2 tys. osób, </w:t>
      </w:r>
      <w:r w:rsidR="00D00383">
        <w:rPr>
          <w:shd w:val="clear" w:color="auto" w:fill="FFFFFF"/>
        </w:rPr>
        <w:t>co oznacza spadek liczebności</w:t>
      </w:r>
      <w:r w:rsidR="00462A8A">
        <w:rPr>
          <w:shd w:val="clear" w:color="auto" w:fill="FFFFFF"/>
        </w:rPr>
        <w:t xml:space="preserve"> o 6,4%, a udział w populacji ogół</w:t>
      </w:r>
      <w:r w:rsidR="00012BC3">
        <w:rPr>
          <w:shd w:val="clear" w:color="auto" w:fill="FFFFFF"/>
        </w:rPr>
        <w:t xml:space="preserve">em obniżył się </w:t>
      </w:r>
      <w:r w:rsidR="00F3156C">
        <w:rPr>
          <w:shd w:val="clear" w:color="auto" w:fill="FFFFFF"/>
        </w:rPr>
        <w:t xml:space="preserve">o 5,2 p.proc. (z </w:t>
      </w:r>
      <w:r w:rsidR="00012BC3">
        <w:rPr>
          <w:shd w:val="clear" w:color="auto" w:fill="FFFFFF"/>
        </w:rPr>
        <w:t>64,8% w 2011 r. do 59,6% w 202</w:t>
      </w:r>
      <w:r w:rsidR="00FD4A62">
        <w:rPr>
          <w:shd w:val="clear" w:color="auto" w:fill="FFFFFF"/>
        </w:rPr>
        <w:t>1</w:t>
      </w:r>
      <w:r w:rsidR="00012BC3">
        <w:rPr>
          <w:shd w:val="clear" w:color="auto" w:fill="FFFFFF"/>
        </w:rPr>
        <w:t xml:space="preserve"> r.</w:t>
      </w:r>
      <w:r w:rsidR="00F3156C">
        <w:rPr>
          <w:shd w:val="clear" w:color="auto" w:fill="FFFFFF"/>
        </w:rPr>
        <w:t>; w kraju z 64,4% do 59,3%</w:t>
      </w:r>
      <w:r w:rsidR="00D00383">
        <w:rPr>
          <w:shd w:val="clear" w:color="auto" w:fill="FFFFFF"/>
        </w:rPr>
        <w:t>).</w:t>
      </w:r>
      <w:r w:rsidR="00012BC3">
        <w:rPr>
          <w:shd w:val="clear" w:color="auto" w:fill="FFFFFF"/>
        </w:rPr>
        <w:t xml:space="preserve"> </w:t>
      </w:r>
      <w:r w:rsidR="001B79FF">
        <w:rPr>
          <w:shd w:val="clear" w:color="auto" w:fill="FFFFFF"/>
        </w:rPr>
        <w:t>Spadk</w:t>
      </w:r>
      <w:r w:rsidR="00C37E9E">
        <w:rPr>
          <w:shd w:val="clear" w:color="auto" w:fill="FFFFFF"/>
        </w:rPr>
        <w:t>i</w:t>
      </w:r>
      <w:r w:rsidR="001B79FF">
        <w:rPr>
          <w:shd w:val="clear" w:color="auto" w:fill="FFFFFF"/>
        </w:rPr>
        <w:t xml:space="preserve"> w grupie </w:t>
      </w:r>
      <w:r w:rsidR="00C37E9E">
        <w:rPr>
          <w:shd w:val="clear" w:color="auto" w:fill="FFFFFF"/>
        </w:rPr>
        <w:t xml:space="preserve">w wieku produkcyjnym </w:t>
      </w:r>
      <w:r w:rsidR="001B79FF">
        <w:rPr>
          <w:shd w:val="clear" w:color="auto" w:fill="FFFFFF"/>
        </w:rPr>
        <w:t>dotyczył</w:t>
      </w:r>
      <w:r w:rsidR="00C37E9E">
        <w:rPr>
          <w:shd w:val="clear" w:color="auto" w:fill="FFFFFF"/>
        </w:rPr>
        <w:t>y</w:t>
      </w:r>
      <w:r w:rsidR="001B79FF">
        <w:rPr>
          <w:shd w:val="clear" w:color="auto" w:fill="FFFFFF"/>
        </w:rPr>
        <w:t xml:space="preserve"> zarówno ludności w wieku mobilnym</w:t>
      </w:r>
      <w:r w:rsidR="001B79FF" w:rsidRPr="00243772">
        <w:rPr>
          <w:shd w:val="clear" w:color="auto" w:fill="FFFFFF"/>
        </w:rPr>
        <w:t xml:space="preserve">, </w:t>
      </w:r>
      <w:r w:rsidR="00C32832">
        <w:rPr>
          <w:shd w:val="clear" w:color="auto" w:fill="FFFFFF"/>
        </w:rPr>
        <w:br/>
      </w:r>
      <w:r w:rsidR="001B79FF" w:rsidRPr="00243772">
        <w:rPr>
          <w:shd w:val="clear" w:color="auto" w:fill="FFFFFF"/>
        </w:rPr>
        <w:t>tj. 18–44 lata</w:t>
      </w:r>
      <w:r w:rsidR="001B79FF">
        <w:rPr>
          <w:shd w:val="clear" w:color="auto" w:fill="FFFFFF"/>
        </w:rPr>
        <w:t xml:space="preserve"> (o 6,2% i o 3,2</w:t>
      </w:r>
      <w:r w:rsidR="00243772" w:rsidRPr="00243772">
        <w:rPr>
          <w:shd w:val="clear" w:color="auto" w:fill="FFFFFF"/>
        </w:rPr>
        <w:t xml:space="preserve"> p.proc.</w:t>
      </w:r>
      <w:r w:rsidR="001B79FF">
        <w:rPr>
          <w:shd w:val="clear" w:color="auto" w:fill="FFFFFF"/>
        </w:rPr>
        <w:t>), jak i niemobilnym, tj.</w:t>
      </w:r>
      <w:r w:rsidR="00243772" w:rsidRPr="00243772">
        <w:rPr>
          <w:shd w:val="clear" w:color="auto" w:fill="FFFFFF"/>
        </w:rPr>
        <w:t xml:space="preserve"> </w:t>
      </w:r>
      <w:r w:rsidR="001B79FF" w:rsidRPr="00243772">
        <w:rPr>
          <w:shd w:val="clear" w:color="auto" w:fill="FFFFFF"/>
        </w:rPr>
        <w:t>m</w:t>
      </w:r>
      <w:r w:rsidR="001B79FF">
        <w:rPr>
          <w:shd w:val="clear" w:color="auto" w:fill="FFFFFF"/>
        </w:rPr>
        <w:t>ęż</w:t>
      </w:r>
      <w:r w:rsidR="001B79FF" w:rsidRPr="00243772">
        <w:rPr>
          <w:shd w:val="clear" w:color="auto" w:fill="FFFFFF"/>
        </w:rPr>
        <w:t>czyz</w:t>
      </w:r>
      <w:r w:rsidR="00F3156C">
        <w:rPr>
          <w:shd w:val="clear" w:color="auto" w:fill="FFFFFF"/>
        </w:rPr>
        <w:t>n w wieku 45–64 lata i </w:t>
      </w:r>
      <w:r w:rsidR="001B79FF" w:rsidRPr="00243772">
        <w:rPr>
          <w:shd w:val="clear" w:color="auto" w:fill="FFFFFF"/>
        </w:rPr>
        <w:t xml:space="preserve">kobiet 45–59 lat </w:t>
      </w:r>
      <w:r w:rsidR="00F06DB9">
        <w:rPr>
          <w:shd w:val="clear" w:color="auto" w:fill="FFFFFF"/>
        </w:rPr>
        <w:t xml:space="preserve">(o 6,7% i o </w:t>
      </w:r>
      <w:r w:rsidR="00944D00">
        <w:rPr>
          <w:shd w:val="clear" w:color="auto" w:fill="FFFFFF"/>
        </w:rPr>
        <w:t>1,9</w:t>
      </w:r>
      <w:r w:rsidR="00F06DB9">
        <w:rPr>
          <w:shd w:val="clear" w:color="auto" w:fill="FFFFFF"/>
        </w:rPr>
        <w:t xml:space="preserve"> p.proc.). </w:t>
      </w:r>
      <w:r w:rsidR="00243772" w:rsidRPr="00243772">
        <w:rPr>
          <w:shd w:val="clear" w:color="auto" w:fill="FFFFFF"/>
        </w:rPr>
        <w:t xml:space="preserve">W miastach </w:t>
      </w:r>
      <w:r w:rsidR="00F06DB9">
        <w:rPr>
          <w:shd w:val="clear" w:color="auto" w:fill="FFFFFF"/>
        </w:rPr>
        <w:t xml:space="preserve">ludność </w:t>
      </w:r>
      <w:r w:rsidR="00C37E9E">
        <w:rPr>
          <w:shd w:val="clear" w:color="auto" w:fill="FFFFFF"/>
        </w:rPr>
        <w:t>w</w:t>
      </w:r>
      <w:r w:rsidR="00F3156C">
        <w:rPr>
          <w:shd w:val="clear" w:color="auto" w:fill="FFFFFF"/>
        </w:rPr>
        <w:t xml:space="preserve"> </w:t>
      </w:r>
      <w:r w:rsidR="00243772" w:rsidRPr="00243772">
        <w:rPr>
          <w:shd w:val="clear" w:color="auto" w:fill="FFFFFF"/>
        </w:rPr>
        <w:t>wieku produkcyjnym stanowi</w:t>
      </w:r>
      <w:r w:rsidR="00F06DB9">
        <w:rPr>
          <w:shd w:val="clear" w:color="auto" w:fill="FFFFFF"/>
        </w:rPr>
        <w:t>ła</w:t>
      </w:r>
      <w:r w:rsidR="00243772" w:rsidRPr="00243772">
        <w:rPr>
          <w:shd w:val="clear" w:color="auto" w:fill="FFFFFF"/>
        </w:rPr>
        <w:t xml:space="preserve"> </w:t>
      </w:r>
      <w:r w:rsidR="00FD4A62">
        <w:rPr>
          <w:shd w:val="clear" w:color="auto" w:fill="FFFFFF"/>
        </w:rPr>
        <w:t>59,0</w:t>
      </w:r>
      <w:r w:rsidR="00243772" w:rsidRPr="00243772">
        <w:rPr>
          <w:shd w:val="clear" w:color="auto" w:fill="FFFFFF"/>
        </w:rPr>
        <w:t>%</w:t>
      </w:r>
      <w:r w:rsidR="0016411C">
        <w:rPr>
          <w:shd w:val="clear" w:color="auto" w:fill="FFFFFF"/>
        </w:rPr>
        <w:t xml:space="preserve">, tj. </w:t>
      </w:r>
      <w:r w:rsidR="00C37E9E" w:rsidRPr="00243772">
        <w:rPr>
          <w:shd w:val="clear" w:color="auto" w:fill="FFFFFF"/>
        </w:rPr>
        <w:t xml:space="preserve">o </w:t>
      </w:r>
      <w:r w:rsidR="00C37E9E">
        <w:rPr>
          <w:shd w:val="clear" w:color="auto" w:fill="FFFFFF"/>
        </w:rPr>
        <w:t>6,3</w:t>
      </w:r>
      <w:r w:rsidR="00C37E9E" w:rsidRPr="00243772">
        <w:rPr>
          <w:shd w:val="clear" w:color="auto" w:fill="FFFFFF"/>
        </w:rPr>
        <w:t xml:space="preserve"> p.proc</w:t>
      </w:r>
      <w:r w:rsidR="00C37E9E">
        <w:rPr>
          <w:shd w:val="clear" w:color="auto" w:fill="FFFFFF"/>
        </w:rPr>
        <w:t>. mni</w:t>
      </w:r>
      <w:r w:rsidR="00C37E9E" w:rsidRPr="00243772">
        <w:rPr>
          <w:shd w:val="clear" w:color="auto" w:fill="FFFFFF"/>
        </w:rPr>
        <w:t>ej ni</w:t>
      </w:r>
      <w:r w:rsidR="00C37E9E">
        <w:rPr>
          <w:shd w:val="clear" w:color="auto" w:fill="FFFFFF"/>
        </w:rPr>
        <w:t>ż</w:t>
      </w:r>
      <w:r w:rsidR="00C37E9E" w:rsidRPr="00243772">
        <w:rPr>
          <w:shd w:val="clear" w:color="auto" w:fill="FFFFFF"/>
        </w:rPr>
        <w:t xml:space="preserve"> w 20</w:t>
      </w:r>
      <w:r w:rsidR="00C37E9E">
        <w:rPr>
          <w:shd w:val="clear" w:color="auto" w:fill="FFFFFF"/>
        </w:rPr>
        <w:t>11</w:t>
      </w:r>
      <w:r w:rsidR="00C37E9E" w:rsidRPr="00243772">
        <w:rPr>
          <w:shd w:val="clear" w:color="auto" w:fill="FFFFFF"/>
        </w:rPr>
        <w:t xml:space="preserve"> r.</w:t>
      </w:r>
      <w:r w:rsidR="0016411C">
        <w:rPr>
          <w:shd w:val="clear" w:color="auto" w:fill="FFFFFF"/>
        </w:rPr>
        <w:t xml:space="preserve"> (przy spadku liczebności o 11,6%)</w:t>
      </w:r>
      <w:r w:rsidR="00243772" w:rsidRPr="00243772">
        <w:rPr>
          <w:shd w:val="clear" w:color="auto" w:fill="FFFFFF"/>
        </w:rPr>
        <w:t>, natomiast na wsi</w:t>
      </w:r>
      <w:r w:rsidR="0016411C">
        <w:rPr>
          <w:shd w:val="clear" w:color="auto" w:fill="FFFFFF"/>
        </w:rPr>
        <w:t>, gdzie</w:t>
      </w:r>
      <w:r w:rsidR="00243772" w:rsidRPr="00243772">
        <w:rPr>
          <w:shd w:val="clear" w:color="auto" w:fill="FFFFFF"/>
        </w:rPr>
        <w:t xml:space="preserve"> </w:t>
      </w:r>
      <w:r w:rsidR="00315C9A">
        <w:rPr>
          <w:shd w:val="clear" w:color="auto" w:fill="FFFFFF"/>
        </w:rPr>
        <w:t>odnot</w:t>
      </w:r>
      <w:r w:rsidR="0016411C">
        <w:rPr>
          <w:shd w:val="clear" w:color="auto" w:fill="FFFFFF"/>
        </w:rPr>
        <w:t xml:space="preserve">owano nawet niewielki wzrost liczby ludności w tej grupie (o 0,3%), </w:t>
      </w:r>
      <w:r w:rsidR="00C37E9E">
        <w:rPr>
          <w:shd w:val="clear" w:color="auto" w:fill="FFFFFF"/>
        </w:rPr>
        <w:t>spadek</w:t>
      </w:r>
      <w:r w:rsidR="0016411C">
        <w:rPr>
          <w:shd w:val="clear" w:color="auto" w:fill="FFFFFF"/>
        </w:rPr>
        <w:t xml:space="preserve"> udziału był nieco mniejszy</w:t>
      </w:r>
      <w:r w:rsidR="00C37E9E">
        <w:rPr>
          <w:shd w:val="clear" w:color="auto" w:fill="FFFFFF"/>
        </w:rPr>
        <w:t xml:space="preserve"> </w:t>
      </w:r>
      <w:r w:rsidR="00315C9A">
        <w:rPr>
          <w:shd w:val="clear" w:color="auto" w:fill="FFFFFF"/>
        </w:rPr>
        <w:t>(</w:t>
      </w:r>
      <w:r w:rsidR="00315C9A" w:rsidRPr="00243772">
        <w:rPr>
          <w:shd w:val="clear" w:color="auto" w:fill="FFFFFF"/>
        </w:rPr>
        <w:t xml:space="preserve">o </w:t>
      </w:r>
      <w:r w:rsidR="00315C9A">
        <w:rPr>
          <w:shd w:val="clear" w:color="auto" w:fill="FFFFFF"/>
        </w:rPr>
        <w:t>3,7</w:t>
      </w:r>
      <w:r w:rsidR="00315C9A" w:rsidRPr="00243772">
        <w:rPr>
          <w:shd w:val="clear" w:color="auto" w:fill="FFFFFF"/>
        </w:rPr>
        <w:t xml:space="preserve"> p.proc.</w:t>
      </w:r>
      <w:r w:rsidR="00315C9A">
        <w:rPr>
          <w:shd w:val="clear" w:color="auto" w:fill="FFFFFF"/>
        </w:rPr>
        <w:t>)</w:t>
      </w:r>
      <w:r w:rsidR="00315C9A" w:rsidRPr="00243772">
        <w:rPr>
          <w:shd w:val="clear" w:color="auto" w:fill="FFFFFF"/>
        </w:rPr>
        <w:t xml:space="preserve"> </w:t>
      </w:r>
      <w:r w:rsidR="00315C9A">
        <w:rPr>
          <w:shd w:val="clear" w:color="auto" w:fill="FFFFFF"/>
        </w:rPr>
        <w:t>z 64,1% do</w:t>
      </w:r>
      <w:r w:rsidR="00243772" w:rsidRPr="00243772">
        <w:rPr>
          <w:shd w:val="clear" w:color="auto" w:fill="FFFFFF"/>
        </w:rPr>
        <w:t xml:space="preserve"> 6</w:t>
      </w:r>
      <w:r w:rsidR="00FD4A62">
        <w:rPr>
          <w:shd w:val="clear" w:color="auto" w:fill="FFFFFF"/>
        </w:rPr>
        <w:t>0,</w:t>
      </w:r>
      <w:r w:rsidR="00243772" w:rsidRPr="00243772">
        <w:rPr>
          <w:shd w:val="clear" w:color="auto" w:fill="FFFFFF"/>
        </w:rPr>
        <w:t xml:space="preserve">4%. </w:t>
      </w:r>
      <w:r w:rsidR="00E350F9">
        <w:rPr>
          <w:shd w:val="clear" w:color="auto" w:fill="FFFFFF"/>
        </w:rPr>
        <w:t>W</w:t>
      </w:r>
      <w:r w:rsidR="00F3156C">
        <w:rPr>
          <w:shd w:val="clear" w:color="auto" w:fill="FFFFFF"/>
        </w:rPr>
        <w:t xml:space="preserve"> </w:t>
      </w:r>
      <w:r w:rsidR="00E350F9">
        <w:rPr>
          <w:shd w:val="clear" w:color="auto" w:fill="FFFFFF"/>
        </w:rPr>
        <w:t xml:space="preserve">porównaniu z NSP 2011 największe przyrosty obserwowano w grupie ludności </w:t>
      </w:r>
      <w:r w:rsidR="000571E8">
        <w:rPr>
          <w:shd w:val="clear" w:color="auto" w:fill="FFFFFF"/>
        </w:rPr>
        <w:t xml:space="preserve">w wieku </w:t>
      </w:r>
      <w:r w:rsidR="00E350F9">
        <w:rPr>
          <w:shd w:val="clear" w:color="auto" w:fill="FFFFFF"/>
        </w:rPr>
        <w:t>poprodukcyjn</w:t>
      </w:r>
      <w:r w:rsidR="000571E8">
        <w:rPr>
          <w:shd w:val="clear" w:color="auto" w:fill="FFFFFF"/>
        </w:rPr>
        <w:t>ym</w:t>
      </w:r>
      <w:r w:rsidR="003E505B">
        <w:rPr>
          <w:shd w:val="clear" w:color="auto" w:fill="FFFFFF"/>
        </w:rPr>
        <w:t xml:space="preserve"> obejmując</w:t>
      </w:r>
      <w:r w:rsidR="000571E8">
        <w:rPr>
          <w:shd w:val="clear" w:color="auto" w:fill="FFFFFF"/>
        </w:rPr>
        <w:t>ym</w:t>
      </w:r>
      <w:r w:rsidR="00E350F9">
        <w:rPr>
          <w:shd w:val="clear" w:color="auto" w:fill="FFFFFF"/>
        </w:rPr>
        <w:t xml:space="preserve"> mężczy</w:t>
      </w:r>
      <w:r w:rsidR="003E505B">
        <w:rPr>
          <w:shd w:val="clear" w:color="auto" w:fill="FFFFFF"/>
        </w:rPr>
        <w:t>zn</w:t>
      </w:r>
      <w:r w:rsidR="00F3156C">
        <w:rPr>
          <w:shd w:val="clear" w:color="auto" w:fill="FFFFFF"/>
        </w:rPr>
        <w:t xml:space="preserve"> w </w:t>
      </w:r>
      <w:r w:rsidR="00E350F9">
        <w:rPr>
          <w:shd w:val="clear" w:color="auto" w:fill="FFFFFF"/>
        </w:rPr>
        <w:t>wieku 65 lat i więcej oraz kobiety 60 lat i więcej. W okresie dziesięciolecia</w:t>
      </w:r>
      <w:r w:rsidR="00CD660E">
        <w:rPr>
          <w:shd w:val="clear" w:color="auto" w:fill="FFFFFF"/>
        </w:rPr>
        <w:t xml:space="preserve"> ta grupa wieku zwiększyła się o 195,4 tys. osób, tj. o 36,6%</w:t>
      </w:r>
      <w:r w:rsidR="003E505B">
        <w:rPr>
          <w:shd w:val="clear" w:color="auto" w:fill="FFFFFF"/>
        </w:rPr>
        <w:t>, a jej udział w populacji ogółem wyniósł 20,8%</w:t>
      </w:r>
      <w:r w:rsidR="00E8014E">
        <w:rPr>
          <w:shd w:val="clear" w:color="auto" w:fill="FFFFFF"/>
        </w:rPr>
        <w:t xml:space="preserve">, co oznacza wzrost o 5,3 p.proc. </w:t>
      </w:r>
      <w:r w:rsidR="00F3156C">
        <w:rPr>
          <w:shd w:val="clear" w:color="auto" w:fill="FFFFFF"/>
        </w:rPr>
        <w:t xml:space="preserve">(w kraju 22,3%; wzrost o 5,4 p.proc.). </w:t>
      </w:r>
      <w:r w:rsidR="00E8014E">
        <w:rPr>
          <w:shd w:val="clear" w:color="auto" w:fill="FFFFFF"/>
        </w:rPr>
        <w:t>Większe zmiany nastąpił</w:t>
      </w:r>
      <w:r w:rsidR="00692832">
        <w:rPr>
          <w:shd w:val="clear" w:color="auto" w:fill="FFFFFF"/>
        </w:rPr>
        <w:t>y w </w:t>
      </w:r>
      <w:r w:rsidR="00E8014E">
        <w:rPr>
          <w:shd w:val="clear" w:color="auto" w:fill="FFFFFF"/>
        </w:rPr>
        <w:t>miastach, gdzie udział ludności w wieku emerytalnym stanowił 23,6% wobec 17,0%</w:t>
      </w:r>
      <w:r w:rsidR="00692832">
        <w:rPr>
          <w:shd w:val="clear" w:color="auto" w:fill="FFFFFF"/>
        </w:rPr>
        <w:t xml:space="preserve"> w 2011 </w:t>
      </w:r>
      <w:r w:rsidR="00E8014E">
        <w:rPr>
          <w:shd w:val="clear" w:color="auto" w:fill="FFFFFF"/>
        </w:rPr>
        <w:t>r.</w:t>
      </w:r>
      <w:r w:rsidR="00E8014E" w:rsidRPr="00E8014E">
        <w:t xml:space="preserve"> </w:t>
      </w:r>
      <w:r w:rsidR="00E8014E" w:rsidRPr="00E8014E">
        <w:rPr>
          <w:shd w:val="clear" w:color="auto" w:fill="FFFFFF"/>
        </w:rPr>
        <w:t>Na wsi udzia</w:t>
      </w:r>
      <w:r w:rsidR="00E8014E">
        <w:rPr>
          <w:shd w:val="clear" w:color="auto" w:fill="FFFFFF"/>
        </w:rPr>
        <w:t>ł</w:t>
      </w:r>
      <w:r w:rsidR="00E8014E" w:rsidRPr="00E8014E">
        <w:rPr>
          <w:shd w:val="clear" w:color="auto" w:fill="FFFFFF"/>
        </w:rPr>
        <w:t xml:space="preserve"> tej grupy</w:t>
      </w:r>
      <w:r w:rsidR="00E8014E">
        <w:rPr>
          <w:shd w:val="clear" w:color="auto" w:fill="FFFFFF"/>
        </w:rPr>
        <w:t xml:space="preserve"> </w:t>
      </w:r>
      <w:r w:rsidR="00E8014E" w:rsidRPr="00E8014E">
        <w:rPr>
          <w:shd w:val="clear" w:color="auto" w:fill="FFFFFF"/>
        </w:rPr>
        <w:t>wynosi</w:t>
      </w:r>
      <w:r w:rsidR="00E8014E">
        <w:rPr>
          <w:shd w:val="clear" w:color="auto" w:fill="FFFFFF"/>
        </w:rPr>
        <w:t>ł</w:t>
      </w:r>
      <w:r w:rsidR="00E8014E" w:rsidRPr="00E8014E">
        <w:rPr>
          <w:shd w:val="clear" w:color="auto" w:fill="FFFFFF"/>
        </w:rPr>
        <w:t xml:space="preserve"> 1</w:t>
      </w:r>
      <w:r w:rsidR="00E8014E">
        <w:rPr>
          <w:shd w:val="clear" w:color="auto" w:fill="FFFFFF"/>
        </w:rPr>
        <w:t>7</w:t>
      </w:r>
      <w:r w:rsidR="00E8014E" w:rsidRPr="00E8014E">
        <w:rPr>
          <w:shd w:val="clear" w:color="auto" w:fill="FFFFFF"/>
        </w:rPr>
        <w:t>,5% wobec 13,</w:t>
      </w:r>
      <w:r w:rsidR="00E8014E">
        <w:rPr>
          <w:shd w:val="clear" w:color="auto" w:fill="FFFFFF"/>
        </w:rPr>
        <w:t>5</w:t>
      </w:r>
      <w:r w:rsidR="00E8014E" w:rsidRPr="00E8014E">
        <w:rPr>
          <w:shd w:val="clear" w:color="auto" w:fill="FFFFFF"/>
        </w:rPr>
        <w:t>% w poprzednim spisie.</w:t>
      </w:r>
      <w:r w:rsidR="008555B0">
        <w:rPr>
          <w:shd w:val="clear" w:color="auto" w:fill="FFFFFF"/>
        </w:rPr>
        <w:t xml:space="preserve"> </w:t>
      </w:r>
    </w:p>
    <w:p w:rsidR="004861B3" w:rsidRDefault="00F145F5" w:rsidP="000571E8">
      <w:pPr>
        <w:pStyle w:val="Tytuwykresu0"/>
        <w:rPr>
          <w:shd w:val="clear" w:color="auto" w:fill="FFFFFF"/>
        </w:rPr>
      </w:pPr>
      <w:r w:rsidRPr="00F145F5">
        <w:lastRenderedPageBreak/>
        <w:drawing>
          <wp:anchor distT="0" distB="180340" distL="114300" distR="114300" simplePos="0" relativeHeight="251789312" behindDoc="0" locked="0" layoutInCell="1" allowOverlap="1">
            <wp:simplePos x="0" y="0"/>
            <wp:positionH relativeFrom="column">
              <wp:posOffset>532263</wp:posOffset>
            </wp:positionH>
            <wp:positionV relativeFrom="paragraph">
              <wp:posOffset>395785</wp:posOffset>
            </wp:positionV>
            <wp:extent cx="4107600" cy="2185200"/>
            <wp:effectExtent l="0" t="0" r="7620" b="5715"/>
            <wp:wrapTopAndBottom/>
            <wp:docPr id="26" name="Obraz 26" descr="Podwójny wykres kolumnowy strukturalny (100%) dla 2011 i 2021 r. przedstawiający ludność w podziale na wiek przedprodukcyjny, produkcyjny i poproduk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76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1B3">
        <w:rPr>
          <w:rFonts w:eastAsia="Fira Sans"/>
        </w:rPr>
        <w:t xml:space="preserve">Wykres </w:t>
      </w:r>
      <w:r w:rsidR="000571E8">
        <w:rPr>
          <w:rFonts w:eastAsia="Fira Sans"/>
        </w:rPr>
        <w:t>2</w:t>
      </w:r>
      <w:r w:rsidR="004861B3">
        <w:rPr>
          <w:rFonts w:eastAsia="Fira Sans"/>
        </w:rPr>
        <w:t>.</w:t>
      </w:r>
      <w:r w:rsidR="004861B3" w:rsidRPr="00B64307">
        <w:rPr>
          <w:rFonts w:eastAsia="Fira Sans"/>
        </w:rPr>
        <w:t xml:space="preserve"> Ludność według </w:t>
      </w:r>
      <w:r w:rsidR="004861B3">
        <w:rPr>
          <w:rFonts w:eastAsia="Fira Sans"/>
        </w:rPr>
        <w:t>ekonomicznych grup</w:t>
      </w:r>
      <w:r w:rsidR="004861B3" w:rsidRPr="00B64307">
        <w:rPr>
          <w:rFonts w:eastAsia="Fira Sans"/>
        </w:rPr>
        <w:t xml:space="preserve"> wieku</w:t>
      </w:r>
      <w:r w:rsidR="000571E8">
        <w:rPr>
          <w:rFonts w:eastAsia="Fira Sans"/>
        </w:rPr>
        <w:br/>
      </w:r>
      <w:r w:rsidR="000571E8">
        <w:rPr>
          <w:b w:val="0"/>
          <w:shd w:val="clear" w:color="auto" w:fill="FFFFFF"/>
        </w:rPr>
        <w:tab/>
        <w:t xml:space="preserve">   </w:t>
      </w:r>
      <w:r w:rsidR="000571E8" w:rsidRPr="00103AEC">
        <w:rPr>
          <w:b w:val="0"/>
          <w:shd w:val="clear" w:color="auto" w:fill="FFFFFF"/>
        </w:rPr>
        <w:t>Stan w dniu 31 marca</w:t>
      </w:r>
    </w:p>
    <w:p w:rsidR="008555B0" w:rsidRDefault="004C54DB" w:rsidP="00DC1663">
      <w:pPr>
        <w:rPr>
          <w:shd w:val="clear" w:color="auto" w:fill="FFFFFF"/>
        </w:rPr>
      </w:pPr>
      <w:r w:rsidRPr="00823593">
        <w:rPr>
          <w:b/>
          <w:noProof/>
          <w:spacing w:val="-2"/>
          <w:szCs w:val="19"/>
          <w:lang w:eastAsia="pl-PL"/>
        </w:rPr>
        <mc:AlternateContent>
          <mc:Choice Requires="wps">
            <w:drawing>
              <wp:anchor distT="45720" distB="45720" distL="114300" distR="114300" simplePos="0" relativeHeight="251780096" behindDoc="1" locked="0" layoutInCell="1" allowOverlap="1" wp14:anchorId="0C0E197D" wp14:editId="13F4859D">
                <wp:simplePos x="0" y="0"/>
                <wp:positionH relativeFrom="column">
                  <wp:posOffset>5220224</wp:posOffset>
                </wp:positionH>
                <wp:positionV relativeFrom="page">
                  <wp:posOffset>3439464</wp:posOffset>
                </wp:positionV>
                <wp:extent cx="1767840" cy="1008380"/>
                <wp:effectExtent l="0" t="0" r="0" b="1270"/>
                <wp:wrapTight wrapText="bothSides">
                  <wp:wrapPolygon edited="0">
                    <wp:start x="698" y="0"/>
                    <wp:lineTo x="698" y="21219"/>
                    <wp:lineTo x="20716" y="21219"/>
                    <wp:lineTo x="20716" y="0"/>
                    <wp:lineTo x="698" y="0"/>
                  </wp:wrapPolygon>
                </wp:wrapTight>
                <wp:docPr id="4" name="Pole tekstowe 4"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008380"/>
                        </a:xfrm>
                        <a:prstGeom prst="rect">
                          <a:avLst/>
                        </a:prstGeom>
                        <a:noFill/>
                        <a:ln w="9525">
                          <a:noFill/>
                          <a:miter lim="800000"/>
                          <a:headEnd/>
                          <a:tailEnd/>
                        </a:ln>
                      </wps:spPr>
                      <wps:txbx>
                        <w:txbxContent>
                          <w:p w:rsidR="00992FE3" w:rsidRPr="00E95B8E" w:rsidRDefault="00992FE3" w:rsidP="00992FE3">
                            <w:pPr>
                              <w:pStyle w:val="tekstzboku"/>
                              <w:spacing w:before="0"/>
                              <w:rPr>
                                <w:bCs w:val="0"/>
                              </w:rPr>
                            </w:pPr>
                            <w:r>
                              <w:t>Współczynnik obciążenia demograficznego w wielkopolskim kształtował się poniżej średniej krajowej i wyniósł 67,7 wobec 68,6 przeciętnie w Polsce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E197D" id="Pole tekstowe 4" o:spid="_x0000_s1031" type="#_x0000_t202" alt="Lorem ipsum dolor sit amet, consectetur adipiscing elit" style="position:absolute;margin-left:411.05pt;margin-top:270.8pt;width:139.2pt;height:79.4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" filled="f" stroked="f">
                <v:textbox>
                  <w:txbxContent>
                    <w:p w:rsidR="00992FE3" w:rsidRPr="00E95B8E" w:rsidRDefault="00992FE3" w:rsidP="00992FE3">
                      <w:pPr>
                        <w:pStyle w:val="tekstzboku"/>
                        <w:spacing w:before="0"/>
                        <w:rPr>
                          <w:bCs w:val="0"/>
                        </w:rPr>
                      </w:pPr>
                      <w:r>
                        <w:t>Współczynnik obciążenia demograficznego w wielkopolskim kształtował się poniżej średniej krajowej i wyniósł 67,7 wobec 68,6 przeciętnie w Polsce</w:t>
                      </w:r>
                    </w:p>
                  </w:txbxContent>
                </v:textbox>
                <w10:wrap type="tight" anchory="page"/>
              </v:shape>
            </w:pict>
          </mc:Fallback>
        </mc:AlternateContent>
      </w:r>
      <w:r w:rsidR="008555B0" w:rsidRPr="008555B0">
        <w:rPr>
          <w:shd w:val="clear" w:color="auto" w:fill="FFFFFF"/>
        </w:rPr>
        <w:t>Zmiany w strukturze wieku ludności spowodowały zwiększenie współczynnika obciążenia demograficznego,</w:t>
      </w:r>
      <w:r w:rsidR="008555B0">
        <w:rPr>
          <w:shd w:val="clear" w:color="auto" w:fill="FFFFFF"/>
        </w:rPr>
        <w:t xml:space="preserve"> </w:t>
      </w:r>
      <w:r w:rsidR="008555B0" w:rsidRPr="008555B0">
        <w:rPr>
          <w:shd w:val="clear" w:color="auto" w:fill="FFFFFF"/>
        </w:rPr>
        <w:t>określającego liczbę osób w wieku nieprodukcyjnym (przed- i poprodukcyjnym) przypadających</w:t>
      </w:r>
      <w:r w:rsidR="008555B0">
        <w:rPr>
          <w:shd w:val="clear" w:color="auto" w:fill="FFFFFF"/>
        </w:rPr>
        <w:t xml:space="preserve"> </w:t>
      </w:r>
      <w:r w:rsidR="008555B0" w:rsidRPr="008555B0">
        <w:rPr>
          <w:shd w:val="clear" w:color="auto" w:fill="FFFFFF"/>
        </w:rPr>
        <w:t xml:space="preserve">na 100 osób w wieku </w:t>
      </w:r>
      <w:r w:rsidR="008555B0" w:rsidRPr="00DC1663">
        <w:rPr>
          <w:shd w:val="clear" w:color="auto" w:fill="FFFFFF"/>
        </w:rPr>
        <w:t>produkcyjnym. W NSP 2021 współczynnik ten wyniósł 67,7</w:t>
      </w:r>
      <w:r w:rsidR="00DE0F96" w:rsidRPr="00DC1663">
        <w:rPr>
          <w:shd w:val="clear" w:color="auto" w:fill="FFFFFF"/>
        </w:rPr>
        <w:t xml:space="preserve"> </w:t>
      </w:r>
      <w:r w:rsidR="008555B0" w:rsidRPr="00DC1663">
        <w:rPr>
          <w:shd w:val="clear" w:color="auto" w:fill="FFFFFF"/>
        </w:rPr>
        <w:t xml:space="preserve">wobec 54,4 w poprzednim spisie i </w:t>
      </w:r>
      <w:r w:rsidR="007C0814" w:rsidRPr="00DC1663">
        <w:rPr>
          <w:shd w:val="clear" w:color="auto" w:fill="FFFFFF"/>
        </w:rPr>
        <w:t>68,</w:t>
      </w:r>
      <w:r w:rsidR="00E050B1" w:rsidRPr="00DC1663">
        <w:rPr>
          <w:shd w:val="clear" w:color="auto" w:fill="FFFFFF"/>
        </w:rPr>
        <w:t>6</w:t>
      </w:r>
      <w:r w:rsidR="007C0814" w:rsidRPr="00DC1663">
        <w:rPr>
          <w:shd w:val="clear" w:color="auto" w:fill="FFFFFF"/>
        </w:rPr>
        <w:t xml:space="preserve"> </w:t>
      </w:r>
      <w:r w:rsidR="00DE0F96" w:rsidRPr="00DC1663">
        <w:rPr>
          <w:shd w:val="clear" w:color="auto" w:fill="FFFFFF"/>
        </w:rPr>
        <w:t>przeciętnie w kraju</w:t>
      </w:r>
      <w:r w:rsidR="008555B0" w:rsidRPr="00DC1663">
        <w:rPr>
          <w:shd w:val="clear" w:color="auto" w:fill="FFFFFF"/>
        </w:rPr>
        <w:t xml:space="preserve">. </w:t>
      </w:r>
      <w:r w:rsidR="00DE0F96" w:rsidRPr="00DC1663">
        <w:rPr>
          <w:shd w:val="clear" w:color="auto" w:fill="FFFFFF"/>
        </w:rPr>
        <w:t xml:space="preserve">Wśród pozostałych województw wielkopolskie </w:t>
      </w:r>
      <w:r w:rsidR="00DC1663" w:rsidRPr="00DC1663">
        <w:rPr>
          <w:shd w:val="clear" w:color="auto" w:fill="FFFFFF"/>
        </w:rPr>
        <w:t>u</w:t>
      </w:r>
      <w:r w:rsidR="00DE0F96" w:rsidRPr="00DC1663">
        <w:rPr>
          <w:shd w:val="clear" w:color="auto" w:fill="FFFFFF"/>
        </w:rPr>
        <w:t>plas</w:t>
      </w:r>
      <w:r w:rsidR="00DC1663" w:rsidRPr="00DC1663">
        <w:rPr>
          <w:shd w:val="clear" w:color="auto" w:fill="FFFFFF"/>
        </w:rPr>
        <w:t>owało</w:t>
      </w:r>
      <w:r w:rsidR="00DE0F96" w:rsidRPr="00DC1663">
        <w:rPr>
          <w:shd w:val="clear" w:color="auto" w:fill="FFFFFF"/>
        </w:rPr>
        <w:t xml:space="preserve"> się pod tym względem </w:t>
      </w:r>
      <w:r w:rsidR="00E050B1" w:rsidRPr="00DC1663">
        <w:rPr>
          <w:shd w:val="clear" w:color="auto" w:fill="FFFFFF"/>
        </w:rPr>
        <w:t>na</w:t>
      </w:r>
      <w:r w:rsidR="00DC1663" w:rsidRPr="00DC1663">
        <w:rPr>
          <w:shd w:val="clear" w:color="auto" w:fill="FFFFFF"/>
        </w:rPr>
        <w:t xml:space="preserve"> jednej z niższych pozycji, przy największym obciążeniu obserwowanym w łódzkim, świętokrzyskim i lubelskim (powyżej 70 osób w wieku nieprodukcyjnym na 100 w produkcyjnym). </w:t>
      </w:r>
      <w:r w:rsidR="00DC1663">
        <w:rPr>
          <w:shd w:val="clear" w:color="auto" w:fill="FFFFFF"/>
        </w:rPr>
        <w:t>W miastach obciążenie osobami w </w:t>
      </w:r>
      <w:r w:rsidR="00DE0F96" w:rsidRPr="00DC1663">
        <w:rPr>
          <w:shd w:val="clear" w:color="auto" w:fill="FFFFFF"/>
        </w:rPr>
        <w:t xml:space="preserve">wieku nieprodukcyjnym sięgało ponad 69 osób (69,5; w stosunku </w:t>
      </w:r>
      <w:r w:rsidR="00DE0F96">
        <w:rPr>
          <w:shd w:val="clear" w:color="auto" w:fill="FFFFFF"/>
        </w:rPr>
        <w:t xml:space="preserve">do 2011 r. </w:t>
      </w:r>
      <w:r w:rsidR="00FA1FBA">
        <w:rPr>
          <w:shd w:val="clear" w:color="auto" w:fill="FFFFFF"/>
        </w:rPr>
        <w:t>wzrost o 16,4 </w:t>
      </w:r>
      <w:r w:rsidR="00DE0F96">
        <w:rPr>
          <w:shd w:val="clear" w:color="auto" w:fill="FFFFFF"/>
        </w:rPr>
        <w:t>punktu), podczas gdy na wsi kształtowało się na poziomie 65,6 (wzrost o 9,5 punktu)</w:t>
      </w:r>
      <w:r w:rsidR="00DE0F96" w:rsidRPr="00F6499C">
        <w:rPr>
          <w:shd w:val="clear" w:color="auto" w:fill="FFFFFF"/>
        </w:rPr>
        <w:t>.</w:t>
      </w:r>
      <w:r w:rsidR="00DE0F96" w:rsidRPr="00DE0F96">
        <w:rPr>
          <w:shd w:val="clear" w:color="auto" w:fill="FFFFFF"/>
        </w:rPr>
        <w:t xml:space="preserve"> </w:t>
      </w:r>
      <w:r w:rsidR="00DE0F96">
        <w:rPr>
          <w:shd w:val="clear" w:color="auto" w:fill="FFFFFF"/>
        </w:rPr>
        <w:t>W</w:t>
      </w:r>
      <w:r w:rsidR="00FA1FBA">
        <w:rPr>
          <w:shd w:val="clear" w:color="auto" w:fill="FFFFFF"/>
        </w:rPr>
        <w:t> </w:t>
      </w:r>
      <w:r w:rsidR="00DE0F96" w:rsidRPr="00DE0F96">
        <w:rPr>
          <w:shd w:val="clear" w:color="auto" w:fill="FFFFFF"/>
        </w:rPr>
        <w:t xml:space="preserve">przekroju płci </w:t>
      </w:r>
      <w:r w:rsidR="00DE0F96">
        <w:rPr>
          <w:shd w:val="clear" w:color="auto" w:fill="FFFFFF"/>
        </w:rPr>
        <w:t>w</w:t>
      </w:r>
      <w:r w:rsidR="00DE0F96" w:rsidRPr="00DE0F96">
        <w:rPr>
          <w:shd w:val="clear" w:color="auto" w:fill="FFFFFF"/>
        </w:rPr>
        <w:t xml:space="preserve">yższe wartości współczynnika </w:t>
      </w:r>
      <w:r w:rsidR="00AE7CE9">
        <w:rPr>
          <w:shd w:val="clear" w:color="auto" w:fill="FFFFFF"/>
        </w:rPr>
        <w:t xml:space="preserve">notowano wśród </w:t>
      </w:r>
      <w:r w:rsidR="00AE7CE9" w:rsidRPr="007C0814">
        <w:rPr>
          <w:shd w:val="clear" w:color="auto" w:fill="FFFFFF"/>
        </w:rPr>
        <w:t xml:space="preserve">kobiet </w:t>
      </w:r>
      <w:r w:rsidR="00AE7CE9">
        <w:rPr>
          <w:shd w:val="clear" w:color="auto" w:fill="FFFFFF"/>
        </w:rPr>
        <w:t xml:space="preserve">– 82,9 (w porównaniu z poprzednim spisem </w:t>
      </w:r>
      <w:r w:rsidR="00DE0F96">
        <w:rPr>
          <w:shd w:val="clear" w:color="auto" w:fill="FFFFFF"/>
        </w:rPr>
        <w:t>wzrost</w:t>
      </w:r>
      <w:r w:rsidR="00DE0F96" w:rsidRPr="007C0814">
        <w:rPr>
          <w:shd w:val="clear" w:color="auto" w:fill="FFFFFF"/>
        </w:rPr>
        <w:t xml:space="preserve"> </w:t>
      </w:r>
      <w:r w:rsidR="00AE7CE9">
        <w:rPr>
          <w:shd w:val="clear" w:color="auto" w:fill="FFFFFF"/>
        </w:rPr>
        <w:t>o 16,6 punktu) wobec</w:t>
      </w:r>
      <w:r w:rsidR="00DE0F96" w:rsidRPr="007C0814">
        <w:rPr>
          <w:shd w:val="clear" w:color="auto" w:fill="FFFFFF"/>
        </w:rPr>
        <w:t xml:space="preserve"> </w:t>
      </w:r>
      <w:r w:rsidR="00AE7CE9">
        <w:rPr>
          <w:shd w:val="clear" w:color="auto" w:fill="FFFFFF"/>
        </w:rPr>
        <w:t xml:space="preserve">54,1 dla </w:t>
      </w:r>
      <w:r w:rsidR="00DE0F96">
        <w:rPr>
          <w:shd w:val="clear" w:color="auto" w:fill="FFFFFF"/>
        </w:rPr>
        <w:t xml:space="preserve">mężczyzn </w:t>
      </w:r>
      <w:r w:rsidR="003D3BF7">
        <w:rPr>
          <w:shd w:val="clear" w:color="auto" w:fill="FFFFFF"/>
        </w:rPr>
        <w:t>(wzrost o 10,5 </w:t>
      </w:r>
      <w:r w:rsidR="00225393">
        <w:rPr>
          <w:shd w:val="clear" w:color="auto" w:fill="FFFFFF"/>
        </w:rPr>
        <w:t>p</w:t>
      </w:r>
      <w:r w:rsidR="00DE0F96">
        <w:rPr>
          <w:shd w:val="clear" w:color="auto" w:fill="FFFFFF"/>
        </w:rPr>
        <w:t>unktu)</w:t>
      </w:r>
      <w:r w:rsidR="00DE0F96" w:rsidRPr="007C0814">
        <w:rPr>
          <w:shd w:val="clear" w:color="auto" w:fill="FFFFFF"/>
        </w:rPr>
        <w:t>.</w:t>
      </w:r>
      <w:r w:rsidR="00AE7CE9">
        <w:rPr>
          <w:shd w:val="clear" w:color="auto" w:fill="FFFFFF"/>
        </w:rPr>
        <w:t xml:space="preserve"> </w:t>
      </w:r>
      <w:r w:rsidR="008555B0" w:rsidRPr="008555B0">
        <w:rPr>
          <w:shd w:val="clear" w:color="auto" w:fill="FFFFFF"/>
        </w:rPr>
        <w:t>Szybsze tempo wzrostu dotyczyło</w:t>
      </w:r>
      <w:r w:rsidR="008555B0">
        <w:rPr>
          <w:shd w:val="clear" w:color="auto" w:fill="FFFFFF"/>
        </w:rPr>
        <w:t xml:space="preserve"> </w:t>
      </w:r>
      <w:r w:rsidR="008555B0" w:rsidRPr="008555B0">
        <w:rPr>
          <w:shd w:val="clear" w:color="auto" w:fill="FFFFFF"/>
        </w:rPr>
        <w:t>przede wszystkim wieku poprodukcyjnego, ponieważ cząstkowy współczynnik obciążenia</w:t>
      </w:r>
      <w:r w:rsidR="008555B0">
        <w:rPr>
          <w:shd w:val="clear" w:color="auto" w:fill="FFFFFF"/>
        </w:rPr>
        <w:t xml:space="preserve"> </w:t>
      </w:r>
      <w:r w:rsidR="008555B0" w:rsidRPr="008555B0">
        <w:rPr>
          <w:shd w:val="clear" w:color="auto" w:fill="FFFFFF"/>
        </w:rPr>
        <w:t>liczony tylko</w:t>
      </w:r>
      <w:r w:rsidR="000571E8">
        <w:rPr>
          <w:shd w:val="clear" w:color="auto" w:fill="FFFFFF"/>
        </w:rPr>
        <w:t xml:space="preserve"> dla tego wieku zwiększył się o </w:t>
      </w:r>
      <w:r w:rsidR="00040BB7">
        <w:rPr>
          <w:shd w:val="clear" w:color="auto" w:fill="FFFFFF"/>
        </w:rPr>
        <w:t>11,0</w:t>
      </w:r>
      <w:r w:rsidR="000571E8">
        <w:rPr>
          <w:shd w:val="clear" w:color="auto" w:fill="FFFFFF"/>
        </w:rPr>
        <w:t> </w:t>
      </w:r>
      <w:r w:rsidR="007C0814" w:rsidRPr="007C0814">
        <w:rPr>
          <w:shd w:val="clear" w:color="auto" w:fill="FFFFFF"/>
        </w:rPr>
        <w:t>punktów</w:t>
      </w:r>
      <w:r w:rsidR="007C0814" w:rsidRPr="008555B0">
        <w:rPr>
          <w:shd w:val="clear" w:color="auto" w:fill="FFFFFF"/>
        </w:rPr>
        <w:t xml:space="preserve"> </w:t>
      </w:r>
      <w:r w:rsidR="008555B0" w:rsidRPr="008555B0">
        <w:rPr>
          <w:shd w:val="clear" w:color="auto" w:fill="FFFFFF"/>
        </w:rPr>
        <w:t>do 34,9, podczas gdy wskaźnik obciążenia osobami</w:t>
      </w:r>
      <w:r w:rsidR="008555B0">
        <w:rPr>
          <w:shd w:val="clear" w:color="auto" w:fill="FFFFFF"/>
        </w:rPr>
        <w:t xml:space="preserve"> </w:t>
      </w:r>
      <w:r w:rsidR="008555B0" w:rsidRPr="008555B0">
        <w:rPr>
          <w:shd w:val="clear" w:color="auto" w:fill="FFFFFF"/>
        </w:rPr>
        <w:t xml:space="preserve">w wieku przedprodukcyjnym </w:t>
      </w:r>
      <w:r w:rsidR="00225393">
        <w:rPr>
          <w:shd w:val="clear" w:color="auto" w:fill="FFFFFF"/>
        </w:rPr>
        <w:t>w </w:t>
      </w:r>
      <w:r w:rsidR="00AE7CE9">
        <w:rPr>
          <w:shd w:val="clear" w:color="auto" w:fill="FFFFFF"/>
        </w:rPr>
        <w:t xml:space="preserve">ciągu dekady </w:t>
      </w:r>
      <w:r w:rsidR="008555B0" w:rsidRPr="008555B0">
        <w:rPr>
          <w:shd w:val="clear" w:color="auto" w:fill="FFFFFF"/>
        </w:rPr>
        <w:t xml:space="preserve">wzrósł o </w:t>
      </w:r>
      <w:r w:rsidR="00040BB7">
        <w:rPr>
          <w:shd w:val="clear" w:color="auto" w:fill="FFFFFF"/>
        </w:rPr>
        <w:t>2,3</w:t>
      </w:r>
      <w:r w:rsidR="008555B0" w:rsidRPr="008555B0">
        <w:rPr>
          <w:shd w:val="clear" w:color="auto" w:fill="FFFFFF"/>
        </w:rPr>
        <w:t xml:space="preserve"> </w:t>
      </w:r>
      <w:r w:rsidR="007C0814">
        <w:rPr>
          <w:shd w:val="clear" w:color="auto" w:fill="FFFFFF"/>
        </w:rPr>
        <w:t xml:space="preserve">punktu </w:t>
      </w:r>
      <w:r w:rsidR="008555B0" w:rsidRPr="008555B0">
        <w:rPr>
          <w:shd w:val="clear" w:color="auto" w:fill="FFFFFF"/>
        </w:rPr>
        <w:t>do 32,</w:t>
      </w:r>
      <w:r w:rsidR="00040BB7">
        <w:rPr>
          <w:shd w:val="clear" w:color="auto" w:fill="FFFFFF"/>
        </w:rPr>
        <w:t>8</w:t>
      </w:r>
      <w:r w:rsidR="008555B0" w:rsidRPr="008555B0">
        <w:rPr>
          <w:shd w:val="clear" w:color="auto" w:fill="FFFFFF"/>
        </w:rPr>
        <w:t>.</w:t>
      </w:r>
      <w:r w:rsidR="00A21FB6">
        <w:rPr>
          <w:shd w:val="clear" w:color="auto" w:fill="FFFFFF"/>
        </w:rPr>
        <w:t xml:space="preserve"> W ujęciu gminnym największe obciążenie obserwowano w</w:t>
      </w:r>
      <w:r w:rsidR="00225393">
        <w:rPr>
          <w:shd w:val="clear" w:color="auto" w:fill="FFFFFF"/>
        </w:rPr>
        <w:t xml:space="preserve"> </w:t>
      </w:r>
      <w:r w:rsidR="00A21FB6">
        <w:rPr>
          <w:shd w:val="clear" w:color="auto" w:fill="FFFFFF"/>
        </w:rPr>
        <w:t xml:space="preserve">gminach miejskich m.in. w Puszczykowie, gdzie na 100 osób </w:t>
      </w:r>
      <w:r w:rsidR="00A21FB6" w:rsidRPr="008555B0">
        <w:rPr>
          <w:shd w:val="clear" w:color="auto" w:fill="FFFFFF"/>
        </w:rPr>
        <w:t>w wieku produkcyjnym</w:t>
      </w:r>
      <w:r w:rsidR="00A21FB6">
        <w:rPr>
          <w:shd w:val="clear" w:color="auto" w:fill="FFFFFF"/>
        </w:rPr>
        <w:t xml:space="preserve"> przypadało 79</w:t>
      </w:r>
      <w:r w:rsidR="00A838F8">
        <w:rPr>
          <w:shd w:val="clear" w:color="auto" w:fill="FFFFFF"/>
        </w:rPr>
        <w:t>,3</w:t>
      </w:r>
      <w:r w:rsidR="00A21FB6">
        <w:rPr>
          <w:shd w:val="clear" w:color="auto" w:fill="FFFFFF"/>
        </w:rPr>
        <w:t xml:space="preserve"> osób w wieku przed- </w:t>
      </w:r>
      <w:r w:rsidR="0096268E">
        <w:rPr>
          <w:shd w:val="clear" w:color="auto" w:fill="FFFFFF"/>
        </w:rPr>
        <w:t>i</w:t>
      </w:r>
      <w:r w:rsidR="00A21FB6">
        <w:rPr>
          <w:shd w:val="clear" w:color="auto" w:fill="FFFFFF"/>
        </w:rPr>
        <w:t xml:space="preserve"> poprodukcyjnym, Kole </w:t>
      </w:r>
      <w:r w:rsidR="00225393">
        <w:rPr>
          <w:shd w:val="clear" w:color="auto" w:fill="FFFFFF"/>
        </w:rPr>
        <w:t xml:space="preserve">– </w:t>
      </w:r>
      <w:r w:rsidR="00A21FB6">
        <w:rPr>
          <w:shd w:val="clear" w:color="auto" w:fill="FFFFFF"/>
        </w:rPr>
        <w:t xml:space="preserve">78,6, Czarnkowie </w:t>
      </w:r>
      <w:r w:rsidR="00225393">
        <w:rPr>
          <w:shd w:val="clear" w:color="auto" w:fill="FFFFFF"/>
        </w:rPr>
        <w:t xml:space="preserve">– </w:t>
      </w:r>
      <w:r w:rsidR="00A21FB6">
        <w:rPr>
          <w:shd w:val="clear" w:color="auto" w:fill="FFFFFF"/>
        </w:rPr>
        <w:t>77,7</w:t>
      </w:r>
      <w:r w:rsidR="00225393">
        <w:rPr>
          <w:shd w:val="clear" w:color="auto" w:fill="FFFFFF"/>
        </w:rPr>
        <w:t xml:space="preserve">, Kaliszu – </w:t>
      </w:r>
      <w:r w:rsidR="00A21FB6">
        <w:rPr>
          <w:shd w:val="clear" w:color="auto" w:fill="FFFFFF"/>
        </w:rPr>
        <w:t xml:space="preserve">76,0, Słupcy </w:t>
      </w:r>
      <w:r w:rsidR="00225393">
        <w:rPr>
          <w:shd w:val="clear" w:color="auto" w:fill="FFFFFF"/>
        </w:rPr>
        <w:t xml:space="preserve">– </w:t>
      </w:r>
      <w:r w:rsidR="00A21FB6">
        <w:rPr>
          <w:shd w:val="clear" w:color="auto" w:fill="FFFFFF"/>
        </w:rPr>
        <w:t xml:space="preserve">75,8, Koninie </w:t>
      </w:r>
      <w:r w:rsidR="00225393">
        <w:rPr>
          <w:shd w:val="clear" w:color="auto" w:fill="FFFFFF"/>
        </w:rPr>
        <w:t xml:space="preserve">– </w:t>
      </w:r>
      <w:r w:rsidR="00A21FB6">
        <w:rPr>
          <w:shd w:val="clear" w:color="auto" w:fill="FFFFFF"/>
        </w:rPr>
        <w:t xml:space="preserve">74,8 i Chodzieży </w:t>
      </w:r>
      <w:r w:rsidR="00225393">
        <w:rPr>
          <w:shd w:val="clear" w:color="auto" w:fill="FFFFFF"/>
        </w:rPr>
        <w:t xml:space="preserve">– </w:t>
      </w:r>
      <w:r w:rsidR="00A21FB6">
        <w:rPr>
          <w:shd w:val="clear" w:color="auto" w:fill="FFFFFF"/>
        </w:rPr>
        <w:t>74,1.</w:t>
      </w:r>
      <w:r w:rsidR="00FA1FBA" w:rsidRPr="00FA1FBA">
        <w:t xml:space="preserve"> </w:t>
      </w:r>
      <w:r w:rsidR="00FA1FBA" w:rsidRPr="00FA1FBA">
        <w:rPr>
          <w:shd w:val="clear" w:color="auto" w:fill="FFFFFF"/>
        </w:rPr>
        <w:t xml:space="preserve">Natomiast najmniejszą wartość współczynnik </w:t>
      </w:r>
      <w:r w:rsidR="00FA1FBA">
        <w:rPr>
          <w:shd w:val="clear" w:color="auto" w:fill="FFFFFF"/>
        </w:rPr>
        <w:t>ten</w:t>
      </w:r>
      <w:r w:rsidR="00FA1FBA" w:rsidRPr="00FA1FBA">
        <w:rPr>
          <w:shd w:val="clear" w:color="auto" w:fill="FFFFFF"/>
        </w:rPr>
        <w:t xml:space="preserve"> przyjął</w:t>
      </w:r>
      <w:r w:rsidR="00FA1FBA">
        <w:rPr>
          <w:shd w:val="clear" w:color="auto" w:fill="FFFFFF"/>
        </w:rPr>
        <w:t xml:space="preserve"> w gminach wiejskich: Perzów (w powiecie kępińskim) – 59,3, Szydłowo (w</w:t>
      </w:r>
      <w:r w:rsidR="00225393">
        <w:rPr>
          <w:shd w:val="clear" w:color="auto" w:fill="FFFFFF"/>
        </w:rPr>
        <w:t xml:space="preserve"> </w:t>
      </w:r>
      <w:r w:rsidR="00FA1FBA">
        <w:rPr>
          <w:shd w:val="clear" w:color="auto" w:fill="FFFFFF"/>
        </w:rPr>
        <w:t>pilskim) – 60,4, Zakrzewo i Złotów (w złotowskim) – odpowiednio 60,7 i 60,8 oraz Malanów (w tureckim) – 60,8.</w:t>
      </w:r>
    </w:p>
    <w:p w:rsidR="002B67EC" w:rsidRDefault="0080779A" w:rsidP="00A74F57">
      <w:pPr>
        <w:rPr>
          <w:shd w:val="clear" w:color="auto" w:fill="FFFFFF"/>
        </w:rPr>
      </w:pPr>
      <w:r>
        <w:rPr>
          <w:shd w:val="clear" w:color="auto" w:fill="FFFFFF"/>
        </w:rPr>
        <w:t xml:space="preserve">Szybki przyrost w grupie ludności w wieku emerytalnym, przy jednoczesnym spadku ludności </w:t>
      </w:r>
      <w:r w:rsidR="00714696">
        <w:rPr>
          <w:shd w:val="clear" w:color="auto" w:fill="FFFFFF"/>
        </w:rPr>
        <w:t xml:space="preserve">w wieku </w:t>
      </w:r>
      <w:r>
        <w:rPr>
          <w:shd w:val="clear" w:color="auto" w:fill="FFFFFF"/>
        </w:rPr>
        <w:t>produkcyjn</w:t>
      </w:r>
      <w:r w:rsidR="00714696">
        <w:rPr>
          <w:shd w:val="clear" w:color="auto" w:fill="FFFFFF"/>
        </w:rPr>
        <w:t>ym</w:t>
      </w:r>
      <w:r>
        <w:rPr>
          <w:shd w:val="clear" w:color="auto" w:fill="FFFFFF"/>
        </w:rPr>
        <w:t>, a tym samym wzrost wskaźnika obciążenia demograficznego</w:t>
      </w:r>
      <w:r w:rsidR="00C110E6">
        <w:rPr>
          <w:shd w:val="clear" w:color="auto" w:fill="FFFFFF"/>
        </w:rPr>
        <w:t xml:space="preserve"> stanowią konsekwencję postępującego procesu starzenia się ludności. </w:t>
      </w:r>
      <w:r w:rsidR="00A74F57">
        <w:rPr>
          <w:shd w:val="clear" w:color="auto" w:fill="FFFFFF"/>
        </w:rPr>
        <w:t>W ujęciu biologicznych grup wieku i</w:t>
      </w:r>
      <w:r w:rsidR="00A74F57" w:rsidRPr="00A74F57">
        <w:rPr>
          <w:shd w:val="clear" w:color="auto" w:fill="FFFFFF"/>
        </w:rPr>
        <w:t>ntensywność tego zjawiska</w:t>
      </w:r>
      <w:r w:rsidR="00A74F57">
        <w:rPr>
          <w:shd w:val="clear" w:color="auto" w:fill="FFFFFF"/>
        </w:rPr>
        <w:t xml:space="preserve"> </w:t>
      </w:r>
      <w:r w:rsidR="00A74F57" w:rsidRPr="00A74F57">
        <w:rPr>
          <w:shd w:val="clear" w:color="auto" w:fill="FFFFFF"/>
        </w:rPr>
        <w:t>potwierdz</w:t>
      </w:r>
      <w:r w:rsidR="00A74F57">
        <w:rPr>
          <w:shd w:val="clear" w:color="auto" w:fill="FFFFFF"/>
        </w:rPr>
        <w:t>a też</w:t>
      </w:r>
      <w:r w:rsidR="00A74F57" w:rsidRPr="00A74F57">
        <w:rPr>
          <w:shd w:val="clear" w:color="auto" w:fill="FFFFFF"/>
        </w:rPr>
        <w:t xml:space="preserve"> m.in. wzro</w:t>
      </w:r>
      <w:r w:rsidR="00A74F57">
        <w:rPr>
          <w:shd w:val="clear" w:color="auto" w:fill="FFFFFF"/>
        </w:rPr>
        <w:t>st</w:t>
      </w:r>
      <w:r w:rsidR="00A74F57" w:rsidRPr="00A74F57">
        <w:rPr>
          <w:shd w:val="clear" w:color="auto" w:fill="FFFFFF"/>
        </w:rPr>
        <w:t xml:space="preserve"> współczynnika starości demograficznej,</w:t>
      </w:r>
      <w:r w:rsidR="00A74F57">
        <w:rPr>
          <w:shd w:val="clear" w:color="auto" w:fill="FFFFFF"/>
        </w:rPr>
        <w:t xml:space="preserve"> </w:t>
      </w:r>
      <w:r w:rsidR="00A74F57" w:rsidRPr="00A74F57">
        <w:rPr>
          <w:shd w:val="clear" w:color="auto" w:fill="FFFFFF"/>
        </w:rPr>
        <w:t>indeksu starości</w:t>
      </w:r>
      <w:r w:rsidR="00243323">
        <w:rPr>
          <w:shd w:val="clear" w:color="auto" w:fill="FFFFFF"/>
        </w:rPr>
        <w:t>,</w:t>
      </w:r>
      <w:r w:rsidR="00A74F57" w:rsidRPr="00A74F57">
        <w:rPr>
          <w:shd w:val="clear" w:color="auto" w:fill="FFFFFF"/>
        </w:rPr>
        <w:t xml:space="preserve"> a także </w:t>
      </w:r>
      <w:r w:rsidR="004C29C2">
        <w:rPr>
          <w:shd w:val="clear" w:color="auto" w:fill="FFFFFF"/>
        </w:rPr>
        <w:t xml:space="preserve">przesuwanie się </w:t>
      </w:r>
      <w:r w:rsidR="00243323">
        <w:rPr>
          <w:shd w:val="clear" w:color="auto" w:fill="FFFFFF"/>
        </w:rPr>
        <w:t>mediany wieku. Kształtowanie się tych wielkości, w świetle wyników NSP 2021, świadczy o zmianie relacji pokoleniowej, która nastąpiła</w:t>
      </w:r>
      <w:r w:rsidR="00A74F57">
        <w:rPr>
          <w:shd w:val="clear" w:color="auto" w:fill="FFFFFF"/>
        </w:rPr>
        <w:t xml:space="preserve"> </w:t>
      </w:r>
      <w:r w:rsidR="00517B93">
        <w:rPr>
          <w:shd w:val="clear" w:color="auto" w:fill="FFFFFF"/>
        </w:rPr>
        <w:t>w</w:t>
      </w:r>
      <w:r w:rsidR="00FA6E70">
        <w:rPr>
          <w:shd w:val="clear" w:color="auto" w:fill="FFFFFF"/>
        </w:rPr>
        <w:t xml:space="preserve"> okresie międzyspisowym. </w:t>
      </w:r>
    </w:p>
    <w:p w:rsidR="00CA14BD" w:rsidRDefault="00AC025E" w:rsidP="00CA14BD">
      <w:pPr>
        <w:rPr>
          <w:shd w:val="clear" w:color="auto" w:fill="FFFFFF"/>
        </w:rPr>
      </w:pPr>
      <w:r w:rsidRPr="00823593">
        <w:rPr>
          <w:b/>
          <w:noProof/>
          <w:spacing w:val="-2"/>
          <w:szCs w:val="19"/>
          <w:lang w:eastAsia="pl-PL"/>
        </w:rPr>
        <mc:AlternateContent>
          <mc:Choice Requires="wps">
            <w:drawing>
              <wp:anchor distT="45720" distB="45720" distL="114300" distR="114300" simplePos="0" relativeHeight="251782144" behindDoc="1" locked="0" layoutInCell="1" allowOverlap="1" wp14:anchorId="2EC25B59" wp14:editId="71373A00">
                <wp:simplePos x="0" y="0"/>
                <wp:positionH relativeFrom="column">
                  <wp:posOffset>5219065</wp:posOffset>
                </wp:positionH>
                <wp:positionV relativeFrom="page">
                  <wp:posOffset>8761924</wp:posOffset>
                </wp:positionV>
                <wp:extent cx="1767840" cy="1207770"/>
                <wp:effectExtent l="0" t="0" r="0" b="0"/>
                <wp:wrapTight wrapText="bothSides">
                  <wp:wrapPolygon edited="0">
                    <wp:start x="698" y="0"/>
                    <wp:lineTo x="698" y="21123"/>
                    <wp:lineTo x="20716" y="21123"/>
                    <wp:lineTo x="20716" y="0"/>
                    <wp:lineTo x="698" y="0"/>
                  </wp:wrapPolygon>
                </wp:wrapTight>
                <wp:docPr id="5" name="Pole tekstowe 5"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207770"/>
                        </a:xfrm>
                        <a:prstGeom prst="rect">
                          <a:avLst/>
                        </a:prstGeom>
                        <a:noFill/>
                        <a:ln w="9525">
                          <a:noFill/>
                          <a:miter lim="800000"/>
                          <a:headEnd/>
                          <a:tailEnd/>
                        </a:ln>
                      </wps:spPr>
                      <wps:txbx>
                        <w:txbxContent>
                          <w:p w:rsidR="003D58E8" w:rsidRPr="00E95B8E" w:rsidRDefault="003D58E8" w:rsidP="003D58E8">
                            <w:pPr>
                              <w:pStyle w:val="tekstzboku"/>
                              <w:spacing w:before="0"/>
                              <w:rPr>
                                <w:bCs w:val="0"/>
                              </w:rPr>
                            </w:pPr>
                            <w:r w:rsidRPr="003D58E8">
                              <w:t xml:space="preserve">Współczynnik starości demograficznej w wielkopolskim </w:t>
                            </w:r>
                            <w:r w:rsidR="00A4101F">
                              <w:t>(</w:t>
                            </w:r>
                            <w:r>
                              <w:t>17,3%</w:t>
                            </w:r>
                            <w:r w:rsidR="00A4101F">
                              <w:t>)</w:t>
                            </w:r>
                            <w:r>
                              <w:t xml:space="preserve"> </w:t>
                            </w:r>
                            <w:r w:rsidRPr="003D58E8">
                              <w:t>należy do najniższych w kraju</w:t>
                            </w:r>
                            <w:r>
                              <w:t>. Podobną wartość wskaźnik ten osiągnął w województwach małopolskim i pomorskim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25B59" id="Pole tekstowe 5" o:spid="_x0000_s1032" type="#_x0000_t202" alt="Lorem ipsum dolor sit amet, consectetur adipiscing elit" style="position:absolute;margin-left:410.95pt;margin-top:689.9pt;width:139.2pt;height:95.1pt;z-index:-25153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" filled="f" stroked="f">
                <v:textbox>
                  <w:txbxContent>
                    <w:p w:rsidR="003D58E8" w:rsidRPr="00E95B8E" w:rsidRDefault="003D58E8" w:rsidP="003D58E8">
                      <w:pPr>
                        <w:pStyle w:val="tekstzboku"/>
                        <w:spacing w:before="0"/>
                        <w:rPr>
                          <w:bCs w:val="0"/>
                        </w:rPr>
                      </w:pPr>
                      <w:r w:rsidRPr="003D58E8">
                        <w:t xml:space="preserve">Współczynnik starości demograficznej w wielkopolskim </w:t>
                      </w:r>
                      <w:r w:rsidR="00A4101F">
                        <w:t>(</w:t>
                      </w:r>
                      <w:r>
                        <w:t>17,3%</w:t>
                      </w:r>
                      <w:r w:rsidR="00A4101F">
                        <w:t>)</w:t>
                      </w:r>
                      <w:r>
                        <w:t xml:space="preserve"> </w:t>
                      </w:r>
                      <w:r w:rsidRPr="003D58E8">
                        <w:t>należy do najniższych w kraju</w:t>
                      </w:r>
                      <w:r>
                        <w:t>. Podobną wartość wskaźnik ten osiągnął w województwach małopolskim i pomorskim</w:t>
                      </w:r>
                    </w:p>
                  </w:txbxContent>
                </v:textbox>
                <w10:wrap type="tight" anchory="page"/>
              </v:shape>
            </w:pict>
          </mc:Fallback>
        </mc:AlternateContent>
      </w:r>
      <w:r w:rsidR="00CA14BD" w:rsidRPr="00CA14BD">
        <w:rPr>
          <w:shd w:val="clear" w:color="auto" w:fill="FFFFFF"/>
        </w:rPr>
        <w:t>Mediana wieku, wyznaczająca granicę, którą połowa populacji już osiągnęła, a druga połowa jeszcze nie</w:t>
      </w:r>
      <w:r w:rsidR="00CA14BD">
        <w:rPr>
          <w:shd w:val="clear" w:color="auto" w:fill="FFFFFF"/>
        </w:rPr>
        <w:t xml:space="preserve"> </w:t>
      </w:r>
      <w:r w:rsidR="00CA14BD" w:rsidRPr="00CA14BD">
        <w:rPr>
          <w:shd w:val="clear" w:color="auto" w:fill="FFFFFF"/>
        </w:rPr>
        <w:t xml:space="preserve">przekroczyła, przesunęła się z </w:t>
      </w:r>
      <w:r w:rsidR="00CA14BD">
        <w:rPr>
          <w:shd w:val="clear" w:color="auto" w:fill="FFFFFF"/>
        </w:rPr>
        <w:t>36,8</w:t>
      </w:r>
      <w:r w:rsidR="00CA14BD" w:rsidRPr="00CA14BD">
        <w:rPr>
          <w:shd w:val="clear" w:color="auto" w:fill="FFFFFF"/>
        </w:rPr>
        <w:t xml:space="preserve"> w 201</w:t>
      </w:r>
      <w:r w:rsidR="00CA14BD">
        <w:rPr>
          <w:shd w:val="clear" w:color="auto" w:fill="FFFFFF"/>
        </w:rPr>
        <w:t>1</w:t>
      </w:r>
      <w:r w:rsidR="00CA14BD" w:rsidRPr="00CA14BD">
        <w:rPr>
          <w:shd w:val="clear" w:color="auto" w:fill="FFFFFF"/>
        </w:rPr>
        <w:t xml:space="preserve"> r. do 40,</w:t>
      </w:r>
      <w:r w:rsidR="00CA14BD">
        <w:rPr>
          <w:shd w:val="clear" w:color="auto" w:fill="FFFFFF"/>
        </w:rPr>
        <w:t>4</w:t>
      </w:r>
      <w:r w:rsidR="00CA14BD" w:rsidRPr="00CA14BD">
        <w:rPr>
          <w:shd w:val="clear" w:color="auto" w:fill="FFFFFF"/>
        </w:rPr>
        <w:t xml:space="preserve"> lat w 202</w:t>
      </w:r>
      <w:r w:rsidR="00CA14BD">
        <w:rPr>
          <w:shd w:val="clear" w:color="auto" w:fill="FFFFFF"/>
        </w:rPr>
        <w:t>1</w:t>
      </w:r>
      <w:r w:rsidR="00CA14BD" w:rsidRPr="00CA14BD">
        <w:rPr>
          <w:shd w:val="clear" w:color="auto" w:fill="FFFFFF"/>
        </w:rPr>
        <w:t xml:space="preserve"> r. Kobiety w wielkopolskim były średnio o 3 lata starsze od mężczyzn (wiek środkowy</w:t>
      </w:r>
      <w:r w:rsidR="00CA14BD">
        <w:rPr>
          <w:shd w:val="clear" w:color="auto" w:fill="FFFFFF"/>
        </w:rPr>
        <w:t xml:space="preserve"> kobiet wyniósł 42,0 lata, a </w:t>
      </w:r>
      <w:r w:rsidR="00CA14BD" w:rsidRPr="00CA14BD">
        <w:rPr>
          <w:shd w:val="clear" w:color="auto" w:fill="FFFFFF"/>
        </w:rPr>
        <w:t>mężczyzn 39,0); wyższa mediana wieku charakteryzowała też mieszkańców</w:t>
      </w:r>
      <w:r w:rsidR="00CA14BD">
        <w:rPr>
          <w:shd w:val="clear" w:color="auto" w:fill="FFFFFF"/>
        </w:rPr>
        <w:t xml:space="preserve"> </w:t>
      </w:r>
      <w:r w:rsidR="00CA14BD" w:rsidRPr="00CA14BD">
        <w:rPr>
          <w:shd w:val="clear" w:color="auto" w:fill="FFFFFF"/>
        </w:rPr>
        <w:t>miast (4</w:t>
      </w:r>
      <w:r w:rsidR="00CA14BD">
        <w:rPr>
          <w:shd w:val="clear" w:color="auto" w:fill="FFFFFF"/>
        </w:rPr>
        <w:t>1,9</w:t>
      </w:r>
      <w:r w:rsidR="00CA14BD" w:rsidRPr="00CA14BD">
        <w:rPr>
          <w:shd w:val="clear" w:color="auto" w:fill="FFFFFF"/>
        </w:rPr>
        <w:t xml:space="preserve"> wobec 38,</w:t>
      </w:r>
      <w:r w:rsidR="00CA14BD">
        <w:rPr>
          <w:shd w:val="clear" w:color="auto" w:fill="FFFFFF"/>
        </w:rPr>
        <w:t>8</w:t>
      </w:r>
      <w:r w:rsidR="00CA14BD" w:rsidRPr="00CA14BD">
        <w:rPr>
          <w:shd w:val="clear" w:color="auto" w:fill="FFFFFF"/>
        </w:rPr>
        <w:t xml:space="preserve"> na wsi).</w:t>
      </w:r>
      <w:r w:rsidR="00CA14BD">
        <w:rPr>
          <w:shd w:val="clear" w:color="auto" w:fill="FFFFFF"/>
        </w:rPr>
        <w:t xml:space="preserve"> W porównaniu z wynikami NSP 2011</w:t>
      </w:r>
      <w:r w:rsidR="006701E8" w:rsidRPr="006701E8">
        <w:rPr>
          <w:shd w:val="clear" w:color="auto" w:fill="FFFFFF"/>
        </w:rPr>
        <w:t xml:space="preserve"> </w:t>
      </w:r>
      <w:r w:rsidR="006701E8">
        <w:rPr>
          <w:shd w:val="clear" w:color="auto" w:fill="FFFFFF"/>
        </w:rPr>
        <w:t xml:space="preserve">w każdej z wymienionych grup </w:t>
      </w:r>
      <w:r w:rsidR="004C29C2" w:rsidRPr="00CA14BD">
        <w:rPr>
          <w:shd w:val="clear" w:color="auto" w:fill="FFFFFF"/>
        </w:rPr>
        <w:t>wiek środkowy</w:t>
      </w:r>
      <w:r w:rsidR="004C29C2">
        <w:rPr>
          <w:shd w:val="clear" w:color="auto" w:fill="FFFFFF"/>
        </w:rPr>
        <w:t xml:space="preserve"> </w:t>
      </w:r>
      <w:r w:rsidR="006701E8">
        <w:rPr>
          <w:shd w:val="clear" w:color="auto" w:fill="FFFFFF"/>
        </w:rPr>
        <w:t>przesunął się o blisko 4 lata.</w:t>
      </w:r>
    </w:p>
    <w:p w:rsidR="002B67EC" w:rsidRDefault="009B42A5" w:rsidP="00752466">
      <w:pPr>
        <w:rPr>
          <w:shd w:val="clear" w:color="auto" w:fill="FFFFFF"/>
        </w:rPr>
      </w:pPr>
      <w:r>
        <w:rPr>
          <w:shd w:val="clear" w:color="auto" w:fill="FFFFFF"/>
        </w:rPr>
        <w:t>U</w:t>
      </w:r>
      <w:r w:rsidR="002B67EC" w:rsidRPr="002B67EC">
        <w:rPr>
          <w:shd w:val="clear" w:color="auto" w:fill="FFFFFF"/>
        </w:rPr>
        <w:t>dział ludności z przedziału wiekowego 0–14 lat</w:t>
      </w:r>
      <w:r w:rsidR="002B67EC">
        <w:rPr>
          <w:shd w:val="clear" w:color="auto" w:fill="FFFFFF"/>
        </w:rPr>
        <w:t xml:space="preserve"> wyniósł 16,7% i w </w:t>
      </w:r>
      <w:r>
        <w:rPr>
          <w:shd w:val="clear" w:color="auto" w:fill="FFFFFF"/>
        </w:rPr>
        <w:t>ciągu dekady</w:t>
      </w:r>
      <w:r w:rsidR="002B67EC" w:rsidRPr="002B67EC">
        <w:rPr>
          <w:shd w:val="clear" w:color="auto" w:fill="FFFFFF"/>
        </w:rPr>
        <w:t xml:space="preserve"> zwiększył się o 0,</w:t>
      </w:r>
      <w:r w:rsidR="002B67EC">
        <w:rPr>
          <w:shd w:val="clear" w:color="auto" w:fill="FFFFFF"/>
        </w:rPr>
        <w:t>6</w:t>
      </w:r>
      <w:r w:rsidR="002B67EC" w:rsidRPr="002B67EC">
        <w:rPr>
          <w:shd w:val="clear" w:color="auto" w:fill="FFFFFF"/>
        </w:rPr>
        <w:t xml:space="preserve"> p.proc. </w:t>
      </w:r>
      <w:r w:rsidR="002B67EC">
        <w:rPr>
          <w:shd w:val="clear" w:color="auto" w:fill="FFFFFF"/>
        </w:rPr>
        <w:t>J</w:t>
      </w:r>
      <w:r w:rsidR="002B67EC" w:rsidRPr="002B67EC">
        <w:rPr>
          <w:shd w:val="clear" w:color="auto" w:fill="FFFFFF"/>
        </w:rPr>
        <w:t>ednocześnie udział ludności</w:t>
      </w:r>
      <w:r w:rsidR="00E509C2">
        <w:rPr>
          <w:shd w:val="clear" w:color="auto" w:fill="FFFFFF"/>
        </w:rPr>
        <w:t xml:space="preserve"> </w:t>
      </w:r>
      <w:r w:rsidR="002B67EC" w:rsidRPr="002B67EC">
        <w:rPr>
          <w:shd w:val="clear" w:color="auto" w:fill="FFFFFF"/>
        </w:rPr>
        <w:t>w wieku 65 lat i więcej, określany jako współczynnik starości demograficznej</w:t>
      </w:r>
      <w:r w:rsidR="00231107">
        <w:rPr>
          <w:shd w:val="clear" w:color="auto" w:fill="FFFFFF"/>
        </w:rPr>
        <w:t>,</w:t>
      </w:r>
      <w:r w:rsidR="002B67EC" w:rsidRPr="002B67EC">
        <w:rPr>
          <w:shd w:val="clear" w:color="auto" w:fill="FFFFFF"/>
        </w:rPr>
        <w:t xml:space="preserve"> </w:t>
      </w:r>
      <w:r w:rsidR="00231107" w:rsidRPr="002B67EC">
        <w:rPr>
          <w:shd w:val="clear" w:color="auto" w:fill="FFFFFF"/>
        </w:rPr>
        <w:t>wzrósł o 5</w:t>
      </w:r>
      <w:r w:rsidR="00231107">
        <w:rPr>
          <w:shd w:val="clear" w:color="auto" w:fill="FFFFFF"/>
        </w:rPr>
        <w:t>,3</w:t>
      </w:r>
      <w:r w:rsidR="00231107" w:rsidRPr="002B67EC">
        <w:rPr>
          <w:shd w:val="clear" w:color="auto" w:fill="FFFFFF"/>
        </w:rPr>
        <w:t xml:space="preserve"> p.proc. </w:t>
      </w:r>
      <w:r w:rsidR="002B67EC" w:rsidRPr="002B67EC">
        <w:rPr>
          <w:shd w:val="clear" w:color="auto" w:fill="FFFFFF"/>
        </w:rPr>
        <w:t xml:space="preserve">do 17,3%, </w:t>
      </w:r>
      <w:r w:rsidR="00231107">
        <w:rPr>
          <w:shd w:val="clear" w:color="auto" w:fill="FFFFFF"/>
        </w:rPr>
        <w:t xml:space="preserve">najbardziej </w:t>
      </w:r>
      <w:r w:rsidR="00231107" w:rsidRPr="002B67EC">
        <w:rPr>
          <w:shd w:val="clear" w:color="auto" w:fill="FFFFFF"/>
        </w:rPr>
        <w:t xml:space="preserve">zmniejszył się </w:t>
      </w:r>
      <w:r w:rsidR="002B67EC" w:rsidRPr="002B67EC">
        <w:rPr>
          <w:shd w:val="clear" w:color="auto" w:fill="FFFFFF"/>
        </w:rPr>
        <w:t>natomiast</w:t>
      </w:r>
      <w:r>
        <w:rPr>
          <w:shd w:val="clear" w:color="auto" w:fill="FFFFFF"/>
        </w:rPr>
        <w:t xml:space="preserve"> –</w:t>
      </w:r>
      <w:r w:rsidR="00E509C2" w:rsidRPr="00E509C2">
        <w:rPr>
          <w:shd w:val="clear" w:color="auto" w:fill="FFFFFF"/>
        </w:rPr>
        <w:t xml:space="preserve"> </w:t>
      </w:r>
      <w:r>
        <w:rPr>
          <w:shd w:val="clear" w:color="auto" w:fill="FFFFFF"/>
        </w:rPr>
        <w:t xml:space="preserve">o 5,8 p.proc. </w:t>
      </w:r>
      <w:r w:rsidRPr="002B67EC">
        <w:rPr>
          <w:shd w:val="clear" w:color="auto" w:fill="FFFFFF"/>
        </w:rPr>
        <w:t>do 66,</w:t>
      </w:r>
      <w:r>
        <w:rPr>
          <w:shd w:val="clear" w:color="auto" w:fill="FFFFFF"/>
        </w:rPr>
        <w:t>0</w:t>
      </w:r>
      <w:r w:rsidRPr="002B67EC">
        <w:rPr>
          <w:shd w:val="clear" w:color="auto" w:fill="FFFFFF"/>
        </w:rPr>
        <w:t>%</w:t>
      </w:r>
      <w:r>
        <w:rPr>
          <w:shd w:val="clear" w:color="auto" w:fill="FFFFFF"/>
        </w:rPr>
        <w:t xml:space="preserve"> – </w:t>
      </w:r>
      <w:r w:rsidR="00E509C2" w:rsidRPr="002B67EC">
        <w:rPr>
          <w:shd w:val="clear" w:color="auto" w:fill="FFFFFF"/>
        </w:rPr>
        <w:t>odsetek ludności w wieku 15–64 lata</w:t>
      </w:r>
      <w:r w:rsidR="002B67EC" w:rsidRPr="002B67EC">
        <w:rPr>
          <w:shd w:val="clear" w:color="auto" w:fill="FFFFFF"/>
        </w:rPr>
        <w:t xml:space="preserve">. </w:t>
      </w:r>
      <w:r w:rsidR="00752466" w:rsidRPr="00752466">
        <w:rPr>
          <w:shd w:val="clear" w:color="auto" w:fill="FFFFFF"/>
        </w:rPr>
        <w:t>Współczynnik starości demograficznej w wielkopolskim, p</w:t>
      </w:r>
      <w:r w:rsidR="00231107" w:rsidRPr="00752466">
        <w:rPr>
          <w:shd w:val="clear" w:color="auto" w:fill="FFFFFF"/>
        </w:rPr>
        <w:t xml:space="preserve">omimo wzrostu wartości, </w:t>
      </w:r>
      <w:r w:rsidR="002B67EC" w:rsidRPr="00752466">
        <w:rPr>
          <w:shd w:val="clear" w:color="auto" w:fill="FFFFFF"/>
        </w:rPr>
        <w:t>należy do najniższych w kraju.</w:t>
      </w:r>
      <w:r w:rsidR="005F0688" w:rsidRPr="00752466">
        <w:rPr>
          <w:shd w:val="clear" w:color="auto" w:fill="FFFFFF"/>
        </w:rPr>
        <w:t xml:space="preserve"> </w:t>
      </w:r>
      <w:r w:rsidR="00752466" w:rsidRPr="00752466">
        <w:rPr>
          <w:shd w:val="clear" w:color="auto" w:fill="FFFFFF"/>
        </w:rPr>
        <w:t xml:space="preserve">Na podobnym poziomie miernik ten kształtował się jeszcze w 2 województwach – małopolskim </w:t>
      </w:r>
      <w:r w:rsidR="00752466">
        <w:rPr>
          <w:shd w:val="clear" w:color="auto" w:fill="FFFFFF"/>
        </w:rPr>
        <w:t xml:space="preserve">i pomorskim, </w:t>
      </w:r>
      <w:r w:rsidR="00752466" w:rsidRPr="00752466">
        <w:rPr>
          <w:shd w:val="clear" w:color="auto" w:fill="FFFFFF"/>
        </w:rPr>
        <w:t>przy średniej dla kraju 18,6%</w:t>
      </w:r>
      <w:r w:rsidR="00752466">
        <w:rPr>
          <w:shd w:val="clear" w:color="auto" w:fill="FFFFFF"/>
        </w:rPr>
        <w:t xml:space="preserve"> </w:t>
      </w:r>
      <w:r w:rsidR="00752466" w:rsidRPr="00752466">
        <w:rPr>
          <w:shd w:val="clear" w:color="auto" w:fill="FFFFFF"/>
        </w:rPr>
        <w:t>i wobec 20,</w:t>
      </w:r>
      <w:r w:rsidR="00752466">
        <w:rPr>
          <w:shd w:val="clear" w:color="auto" w:fill="FFFFFF"/>
        </w:rPr>
        <w:t>9</w:t>
      </w:r>
      <w:r w:rsidR="00752466" w:rsidRPr="00752466">
        <w:rPr>
          <w:shd w:val="clear" w:color="auto" w:fill="FFFFFF"/>
        </w:rPr>
        <w:t>% w województwie łódzkim. Wy</w:t>
      </w:r>
      <w:r w:rsidR="005F0688" w:rsidRPr="005F0688">
        <w:rPr>
          <w:shd w:val="clear" w:color="auto" w:fill="FFFFFF"/>
        </w:rPr>
        <w:t xml:space="preserve">żej niż przeciętnie w województwie </w:t>
      </w:r>
      <w:r w:rsidR="00652EC2">
        <w:rPr>
          <w:shd w:val="clear" w:color="auto" w:fill="FFFFFF"/>
        </w:rPr>
        <w:t>miara</w:t>
      </w:r>
      <w:r w:rsidR="005F0688" w:rsidRPr="005F0688">
        <w:rPr>
          <w:shd w:val="clear" w:color="auto" w:fill="FFFFFF"/>
        </w:rPr>
        <w:t xml:space="preserve"> </w:t>
      </w:r>
      <w:r w:rsidR="00652EC2">
        <w:rPr>
          <w:shd w:val="clear" w:color="auto" w:fill="FFFFFF"/>
        </w:rPr>
        <w:t>ta</w:t>
      </w:r>
      <w:r w:rsidR="005F0688">
        <w:rPr>
          <w:shd w:val="clear" w:color="auto" w:fill="FFFFFF"/>
        </w:rPr>
        <w:t xml:space="preserve"> </w:t>
      </w:r>
      <w:r w:rsidR="005F0688" w:rsidRPr="005F0688">
        <w:rPr>
          <w:shd w:val="clear" w:color="auto" w:fill="FFFFFF"/>
        </w:rPr>
        <w:t>kształtował</w:t>
      </w:r>
      <w:r w:rsidR="00652EC2">
        <w:rPr>
          <w:shd w:val="clear" w:color="auto" w:fill="FFFFFF"/>
        </w:rPr>
        <w:t>a</w:t>
      </w:r>
      <w:r w:rsidR="005F0688" w:rsidRPr="005F0688">
        <w:rPr>
          <w:shd w:val="clear" w:color="auto" w:fill="FFFFFF"/>
        </w:rPr>
        <w:t xml:space="preserve"> </w:t>
      </w:r>
      <w:r w:rsidR="00652EC2">
        <w:rPr>
          <w:shd w:val="clear" w:color="auto" w:fill="FFFFFF"/>
        </w:rPr>
        <w:t>się w grupie kobiet, gdzie wynio</w:t>
      </w:r>
      <w:r w:rsidR="005F0688" w:rsidRPr="005F0688">
        <w:rPr>
          <w:shd w:val="clear" w:color="auto" w:fill="FFFFFF"/>
        </w:rPr>
        <w:t>sł</w:t>
      </w:r>
      <w:r w:rsidR="00652EC2">
        <w:rPr>
          <w:shd w:val="clear" w:color="auto" w:fill="FFFFFF"/>
        </w:rPr>
        <w:t>a</w:t>
      </w:r>
      <w:r w:rsidR="005F0688" w:rsidRPr="005F0688">
        <w:rPr>
          <w:shd w:val="clear" w:color="auto" w:fill="FFFFFF"/>
        </w:rPr>
        <w:t xml:space="preserve"> 20,1% oraz wśród mieszkańców miast,</w:t>
      </w:r>
      <w:r w:rsidR="00ED11C4">
        <w:rPr>
          <w:shd w:val="clear" w:color="auto" w:fill="FFFFFF"/>
        </w:rPr>
        <w:t xml:space="preserve"> </w:t>
      </w:r>
      <w:r w:rsidR="005F0688" w:rsidRPr="005F0688">
        <w:rPr>
          <w:shd w:val="clear" w:color="auto" w:fill="FFFFFF"/>
        </w:rPr>
        <w:t>z wartością na poziomie 19,</w:t>
      </w:r>
      <w:r w:rsidR="007B16C3">
        <w:rPr>
          <w:shd w:val="clear" w:color="auto" w:fill="FFFFFF"/>
        </w:rPr>
        <w:t>8</w:t>
      </w:r>
      <w:r w:rsidR="005F0688" w:rsidRPr="005F0688">
        <w:rPr>
          <w:shd w:val="clear" w:color="auto" w:fill="FFFFFF"/>
        </w:rPr>
        <w:t>% (</w:t>
      </w:r>
      <w:r w:rsidR="00CC3D76">
        <w:rPr>
          <w:shd w:val="clear" w:color="auto" w:fill="FFFFFF"/>
        </w:rPr>
        <w:t>odpowiednio</w:t>
      </w:r>
      <w:r w:rsidR="00C10371">
        <w:rPr>
          <w:shd w:val="clear" w:color="auto" w:fill="FFFFFF"/>
        </w:rPr>
        <w:t xml:space="preserve"> </w:t>
      </w:r>
      <w:r w:rsidR="00C10371">
        <w:rPr>
          <w:shd w:val="clear" w:color="auto" w:fill="FFFFFF"/>
        </w:rPr>
        <w:lastRenderedPageBreak/>
        <w:t>o </w:t>
      </w:r>
      <w:r w:rsidR="00CC3D76">
        <w:rPr>
          <w:shd w:val="clear" w:color="auto" w:fill="FFFFFF"/>
        </w:rPr>
        <w:t>5</w:t>
      </w:r>
      <w:r w:rsidR="00C10371">
        <w:rPr>
          <w:shd w:val="clear" w:color="auto" w:fill="FFFFFF"/>
        </w:rPr>
        <w:t>,6 </w:t>
      </w:r>
      <w:r w:rsidR="00652EC2">
        <w:rPr>
          <w:shd w:val="clear" w:color="auto" w:fill="FFFFFF"/>
        </w:rPr>
        <w:t>i </w:t>
      </w:r>
      <w:r w:rsidR="00666437">
        <w:rPr>
          <w:shd w:val="clear" w:color="auto" w:fill="FFFFFF"/>
        </w:rPr>
        <w:t>o </w:t>
      </w:r>
      <w:r w:rsidR="00CC3D76">
        <w:rPr>
          <w:shd w:val="clear" w:color="auto" w:fill="FFFFFF"/>
        </w:rPr>
        <w:t xml:space="preserve">6,7 </w:t>
      </w:r>
      <w:r w:rsidR="005F0688" w:rsidRPr="005F0688">
        <w:rPr>
          <w:shd w:val="clear" w:color="auto" w:fill="FFFFFF"/>
        </w:rPr>
        <w:t>p.proc. więcej niż w 201</w:t>
      </w:r>
      <w:r w:rsidR="00CC3D76">
        <w:rPr>
          <w:shd w:val="clear" w:color="auto" w:fill="FFFFFF"/>
        </w:rPr>
        <w:t>1</w:t>
      </w:r>
      <w:r w:rsidR="005F0688" w:rsidRPr="005F0688">
        <w:rPr>
          <w:shd w:val="clear" w:color="auto" w:fill="FFFFFF"/>
        </w:rPr>
        <w:t xml:space="preserve"> r.). W zbiorowości</w:t>
      </w:r>
      <w:r w:rsidR="00CC3D76">
        <w:rPr>
          <w:shd w:val="clear" w:color="auto" w:fill="FFFFFF"/>
        </w:rPr>
        <w:t xml:space="preserve"> </w:t>
      </w:r>
      <w:r w:rsidR="005F0688" w:rsidRPr="005F0688">
        <w:rPr>
          <w:shd w:val="clear" w:color="auto" w:fill="FFFFFF"/>
        </w:rPr>
        <w:t>mężczyzn i wśród mieszkańców wsi współczynnik ten wyniósł 1</w:t>
      </w:r>
      <w:r w:rsidR="00CC3D76">
        <w:rPr>
          <w:shd w:val="clear" w:color="auto" w:fill="FFFFFF"/>
        </w:rPr>
        <w:t>4</w:t>
      </w:r>
      <w:r w:rsidR="005F0688" w:rsidRPr="005F0688">
        <w:rPr>
          <w:shd w:val="clear" w:color="auto" w:fill="FFFFFF"/>
        </w:rPr>
        <w:t>,</w:t>
      </w:r>
      <w:r w:rsidR="007B16C3">
        <w:rPr>
          <w:shd w:val="clear" w:color="auto" w:fill="FFFFFF"/>
        </w:rPr>
        <w:t>4</w:t>
      </w:r>
      <w:r w:rsidR="005F0688" w:rsidRPr="005F0688">
        <w:rPr>
          <w:shd w:val="clear" w:color="auto" w:fill="FFFFFF"/>
        </w:rPr>
        <w:t xml:space="preserve">% (o </w:t>
      </w:r>
      <w:r w:rsidR="00CC3D76">
        <w:rPr>
          <w:shd w:val="clear" w:color="auto" w:fill="FFFFFF"/>
        </w:rPr>
        <w:t>5,</w:t>
      </w:r>
      <w:r w:rsidR="005F0688" w:rsidRPr="005F0688">
        <w:rPr>
          <w:shd w:val="clear" w:color="auto" w:fill="FFFFFF"/>
        </w:rPr>
        <w:t xml:space="preserve">0 </w:t>
      </w:r>
      <w:r w:rsidR="00CC3D76">
        <w:rPr>
          <w:shd w:val="clear" w:color="auto" w:fill="FFFFFF"/>
        </w:rPr>
        <w:t xml:space="preserve">i o 3,7 </w:t>
      </w:r>
      <w:r w:rsidR="005F0688" w:rsidRPr="005F0688">
        <w:rPr>
          <w:shd w:val="clear" w:color="auto" w:fill="FFFFFF"/>
        </w:rPr>
        <w:t>p.proc. więcej).</w:t>
      </w:r>
      <w:r w:rsidR="00652EC2">
        <w:rPr>
          <w:shd w:val="clear" w:color="auto" w:fill="FFFFFF"/>
        </w:rPr>
        <w:t xml:space="preserve"> W </w:t>
      </w:r>
      <w:r w:rsidR="002A5354">
        <w:rPr>
          <w:shd w:val="clear" w:color="auto" w:fill="FFFFFF"/>
        </w:rPr>
        <w:t>ujęciu</w:t>
      </w:r>
      <w:r w:rsidR="00652EC2">
        <w:rPr>
          <w:shd w:val="clear" w:color="auto" w:fill="FFFFFF"/>
        </w:rPr>
        <w:t xml:space="preserve"> gminnym</w:t>
      </w:r>
      <w:r w:rsidR="002A5354">
        <w:rPr>
          <w:shd w:val="clear" w:color="auto" w:fill="FFFFFF"/>
        </w:rPr>
        <w:t xml:space="preserve"> najmniejsze udziały grupy wieku 65 lat i więcej </w:t>
      </w:r>
      <w:r w:rsidR="00FD277E">
        <w:rPr>
          <w:shd w:val="clear" w:color="auto" w:fill="FFFFFF"/>
        </w:rPr>
        <w:t>odnotowano w jednostkach terytorialnych skupionych wokół Poznania</w:t>
      </w:r>
      <w:r w:rsidR="006574AD">
        <w:rPr>
          <w:shd w:val="clear" w:color="auto" w:fill="FFFFFF"/>
        </w:rPr>
        <w:t xml:space="preserve"> (wyróżniających się także najniższą medianą wieku),</w:t>
      </w:r>
      <w:r w:rsidR="00FD277E">
        <w:rPr>
          <w:shd w:val="clear" w:color="auto" w:fill="FFFFFF"/>
        </w:rPr>
        <w:t xml:space="preserve"> m.in. w Kleszczewie, gdzie osoby z tej grupy stanowiły 8,9% ogółu mieszkańców, a</w:t>
      </w:r>
      <w:r w:rsidR="006574AD">
        <w:rPr>
          <w:shd w:val="clear" w:color="auto" w:fill="FFFFFF"/>
        </w:rPr>
        <w:t xml:space="preserve"> </w:t>
      </w:r>
      <w:r w:rsidR="00FD277E">
        <w:rPr>
          <w:shd w:val="clear" w:color="auto" w:fill="FFFFFF"/>
        </w:rPr>
        <w:t xml:space="preserve">także w Komornikach </w:t>
      </w:r>
      <w:r w:rsidR="00FD277E" w:rsidRPr="00FD277E">
        <w:rPr>
          <w:shd w:val="clear" w:color="auto" w:fill="FFFFFF"/>
        </w:rPr>
        <w:t xml:space="preserve">– </w:t>
      </w:r>
      <w:r w:rsidR="00FD277E">
        <w:rPr>
          <w:shd w:val="clear" w:color="auto" w:fill="FFFFFF"/>
        </w:rPr>
        <w:t xml:space="preserve">9,1%, </w:t>
      </w:r>
      <w:r w:rsidR="00FD277E" w:rsidRPr="00FD277E">
        <w:rPr>
          <w:shd w:val="clear" w:color="auto" w:fill="FFFFFF"/>
        </w:rPr>
        <w:t>Dopiewie</w:t>
      </w:r>
      <w:r w:rsidR="00FD277E">
        <w:rPr>
          <w:shd w:val="clear" w:color="auto" w:fill="FFFFFF"/>
        </w:rPr>
        <w:t xml:space="preserve"> – 9,7% i Rokietnicy – 10,5%.</w:t>
      </w:r>
      <w:r w:rsidR="00F52388">
        <w:rPr>
          <w:shd w:val="clear" w:color="auto" w:fill="FFFFFF"/>
        </w:rPr>
        <w:t xml:space="preserve"> Najwyższe </w:t>
      </w:r>
      <w:r w:rsidR="002A5354" w:rsidRPr="00FD277E">
        <w:rPr>
          <w:shd w:val="clear" w:color="auto" w:fill="FFFFFF"/>
        </w:rPr>
        <w:t>wartości</w:t>
      </w:r>
      <w:r w:rsidR="002A5354">
        <w:rPr>
          <w:shd w:val="clear" w:color="auto" w:fill="FFFFFF"/>
        </w:rPr>
        <w:t xml:space="preserve"> współczynnik starości demograficznej </w:t>
      </w:r>
      <w:r w:rsidR="00F52388">
        <w:rPr>
          <w:shd w:val="clear" w:color="auto" w:fill="FFFFFF"/>
        </w:rPr>
        <w:t xml:space="preserve">przyjął natomiast </w:t>
      </w:r>
      <w:r w:rsidR="002A5354">
        <w:rPr>
          <w:shd w:val="clear" w:color="auto" w:fill="FFFFFF"/>
        </w:rPr>
        <w:t xml:space="preserve">w </w:t>
      </w:r>
      <w:r w:rsidR="00F52388">
        <w:rPr>
          <w:shd w:val="clear" w:color="auto" w:fill="FFFFFF"/>
        </w:rPr>
        <w:t>gminach miejskich: Konin – 23,5%, Kalisz – 22,8%, Koło – 22,7%, Puszczykowo – 22,6% oraz Słupca – 22,2%.</w:t>
      </w:r>
    </w:p>
    <w:p w:rsidR="00766BA1" w:rsidRDefault="00D5489D" w:rsidP="00A71FD1">
      <w:pPr>
        <w:pStyle w:val="Tytuwykresu0"/>
        <w:rPr>
          <w:shd w:val="clear" w:color="auto" w:fill="FFFFFF"/>
        </w:rPr>
      </w:pPr>
      <w:r w:rsidRPr="00823593">
        <w:rPr>
          <w:spacing w:val="-2"/>
        </w:rPr>
        <mc:AlternateContent>
          <mc:Choice Requires="wps">
            <w:drawing>
              <wp:anchor distT="45720" distB="45720" distL="114300" distR="114300" simplePos="0" relativeHeight="251784192" behindDoc="1" locked="0" layoutInCell="1" allowOverlap="1" wp14:anchorId="7EC5C9BC" wp14:editId="04D934BA">
                <wp:simplePos x="0" y="0"/>
                <wp:positionH relativeFrom="column">
                  <wp:posOffset>5224780</wp:posOffset>
                </wp:positionH>
                <wp:positionV relativeFrom="page">
                  <wp:posOffset>8045450</wp:posOffset>
                </wp:positionV>
                <wp:extent cx="1767840" cy="1371600"/>
                <wp:effectExtent l="0" t="0" r="0" b="0"/>
                <wp:wrapTight wrapText="bothSides">
                  <wp:wrapPolygon edited="0">
                    <wp:start x="698" y="0"/>
                    <wp:lineTo x="698" y="21300"/>
                    <wp:lineTo x="20716" y="21300"/>
                    <wp:lineTo x="20716" y="0"/>
                    <wp:lineTo x="698" y="0"/>
                  </wp:wrapPolygon>
                </wp:wrapTight>
                <wp:docPr id="18" name="Pole tekstowe 18"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371600"/>
                        </a:xfrm>
                        <a:prstGeom prst="rect">
                          <a:avLst/>
                        </a:prstGeom>
                        <a:noFill/>
                        <a:ln w="9525">
                          <a:noFill/>
                          <a:miter lim="800000"/>
                          <a:headEnd/>
                          <a:tailEnd/>
                        </a:ln>
                      </wps:spPr>
                      <wps:txbx>
                        <w:txbxContent>
                          <w:p w:rsidR="006A586C" w:rsidRPr="00E95B8E" w:rsidRDefault="006A586C" w:rsidP="006A586C">
                            <w:pPr>
                              <w:pStyle w:val="tekstzboku"/>
                              <w:spacing w:before="0"/>
                              <w:rPr>
                                <w:bCs w:val="0"/>
                              </w:rPr>
                            </w:pPr>
                            <w:r>
                              <w:t>Według NSP 2021 relacja poko</w:t>
                            </w:r>
                            <w:r w:rsidR="00B84CAF">
                              <w:t>lenia 65 lat i więcej do pokolenia 0–14 lat w wielkopolskim wyniosła 104. W kraju przewaga liczebna starszego pokoleni</w:t>
                            </w:r>
                            <w:r w:rsidR="00A4101F">
                              <w:t>a była większa</w:t>
                            </w:r>
                            <w:r w:rsidR="004F4738">
                              <w:t xml:space="preserve"> i ukształtowała się </w:t>
                            </w:r>
                            <w:r w:rsidR="00A4101F">
                              <w:t>na poziomie 119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5C9BC" id="Pole tekstowe 18" o:spid="_x0000_s1033" type="#_x0000_t202" alt="Lorem ipsum dolor sit amet, consectetur adipiscing elit" style="position:absolute;margin-left:411.4pt;margin-top:633.5pt;width:139.2pt;height:108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" filled="f" stroked="f">
                <v:textbox>
                  <w:txbxContent>
                    <w:p w:rsidR="006A586C" w:rsidRPr="00E95B8E" w:rsidRDefault="006A586C" w:rsidP="006A586C">
                      <w:pPr>
                        <w:pStyle w:val="tekstzboku"/>
                        <w:spacing w:before="0"/>
                        <w:rPr>
                          <w:bCs w:val="0"/>
                        </w:rPr>
                      </w:pPr>
                      <w:r>
                        <w:t>Według NSP 2021 relacja poko</w:t>
                      </w:r>
                      <w:r w:rsidR="00B84CAF">
                        <w:t>lenia 65 lat i więcej do pokolenia 0–14 lat w wielkopolskim wyniosła 104. W kraju przewaga liczebna starszego pokoleni</w:t>
                      </w:r>
                      <w:r w:rsidR="00A4101F">
                        <w:t>a była większa</w:t>
                      </w:r>
                      <w:r w:rsidR="004F4738">
                        <w:t xml:space="preserve"> i ukształtowała się </w:t>
                      </w:r>
                      <w:r w:rsidR="00A4101F">
                        <w:t>na poziomie 119</w:t>
                      </w:r>
                    </w:p>
                  </w:txbxContent>
                </v:textbox>
                <w10:wrap type="tight" anchory="page"/>
              </v:shape>
            </w:pict>
          </mc:Fallback>
        </mc:AlternateContent>
      </w:r>
      <w:r w:rsidR="00F145F5" w:rsidRPr="00F145F5">
        <w:drawing>
          <wp:anchor distT="0" distB="180340" distL="114300" distR="114300" simplePos="0" relativeHeight="251790336" behindDoc="0" locked="0" layoutInCell="1" allowOverlap="1">
            <wp:simplePos x="0" y="0"/>
            <wp:positionH relativeFrom="column">
              <wp:posOffset>450243</wp:posOffset>
            </wp:positionH>
            <wp:positionV relativeFrom="paragraph">
              <wp:posOffset>519563</wp:posOffset>
            </wp:positionV>
            <wp:extent cx="4312800" cy="5457600"/>
            <wp:effectExtent l="0" t="0" r="0" b="0"/>
            <wp:wrapTopAndBottom/>
            <wp:docPr id="27" name="Obraz 27" descr="Kartogram – gminy województwa wielkopolskiego, przedstawiający udział osób w wieku 65 lat i więcej w ogólnej liczbie ludności w 2021 r. Cieniowanie (6 przedziałów) – (w %). Dodatkowo wartość dla województwa wielkopolskiego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2800" cy="54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BA1">
        <w:rPr>
          <w:shd w:val="clear" w:color="auto" w:fill="FFFFFF"/>
        </w:rPr>
        <w:t xml:space="preserve">Mapa </w:t>
      </w:r>
      <w:r w:rsidR="00C10371">
        <w:rPr>
          <w:shd w:val="clear" w:color="auto" w:fill="FFFFFF"/>
        </w:rPr>
        <w:t>4</w:t>
      </w:r>
      <w:r w:rsidR="00766BA1">
        <w:rPr>
          <w:shd w:val="clear" w:color="auto" w:fill="FFFFFF"/>
        </w:rPr>
        <w:t xml:space="preserve">. Udział osób w wieku 65 lat i więcej w ogólnej liczbie ludności w 2021 r. </w:t>
      </w:r>
      <w:r w:rsidR="00766BA1">
        <w:rPr>
          <w:shd w:val="clear" w:color="auto" w:fill="FFFFFF"/>
        </w:rPr>
        <w:br/>
      </w:r>
      <w:r w:rsidR="00766BA1">
        <w:rPr>
          <w:shd w:val="clear" w:color="auto" w:fill="FFFFFF"/>
        </w:rPr>
        <w:tab/>
      </w:r>
      <w:r w:rsidR="00C10371" w:rsidRPr="00A71FD1">
        <w:rPr>
          <w:b w:val="0"/>
          <w:shd w:val="clear" w:color="auto" w:fill="FFFFFF"/>
        </w:rPr>
        <w:t>S</w:t>
      </w:r>
      <w:r w:rsidR="00766BA1" w:rsidRPr="00A71FD1">
        <w:rPr>
          <w:b w:val="0"/>
          <w:shd w:val="clear" w:color="auto" w:fill="FFFFFF"/>
        </w:rPr>
        <w:t>tan w dniu 31 marca</w:t>
      </w:r>
    </w:p>
    <w:p w:rsidR="00BE51B9" w:rsidRDefault="00766BA1" w:rsidP="007E27E1">
      <w:pPr>
        <w:rPr>
          <w:shd w:val="clear" w:color="auto" w:fill="FFFFFF"/>
        </w:rPr>
      </w:pPr>
      <w:r>
        <w:rPr>
          <w:shd w:val="clear" w:color="auto" w:fill="FFFFFF"/>
        </w:rPr>
        <w:t>Zmianę relacji pokoleniowej</w:t>
      </w:r>
      <w:r w:rsidR="00ED6897">
        <w:rPr>
          <w:shd w:val="clear" w:color="auto" w:fill="FFFFFF"/>
        </w:rPr>
        <w:t>,</w:t>
      </w:r>
      <w:r>
        <w:rPr>
          <w:shd w:val="clear" w:color="auto" w:fill="FFFFFF"/>
        </w:rPr>
        <w:t xml:space="preserve"> </w:t>
      </w:r>
      <w:r w:rsidR="00ED6897">
        <w:rPr>
          <w:shd w:val="clear" w:color="auto" w:fill="FFFFFF"/>
        </w:rPr>
        <w:t xml:space="preserve">wynikającą z postępującego procesu starzenia się ludności, </w:t>
      </w:r>
      <w:r>
        <w:rPr>
          <w:shd w:val="clear" w:color="auto" w:fill="FFFFFF"/>
        </w:rPr>
        <w:t>najlepiej obrazuje</w:t>
      </w:r>
      <w:r w:rsidR="009E72F2" w:rsidRPr="009E72F2">
        <w:rPr>
          <w:shd w:val="clear" w:color="auto" w:fill="FFFFFF"/>
        </w:rPr>
        <w:t xml:space="preserve"> tzw. indeks starości,</w:t>
      </w:r>
      <w:r w:rsidR="009E72F2">
        <w:rPr>
          <w:shd w:val="clear" w:color="auto" w:fill="FFFFFF"/>
        </w:rPr>
        <w:t xml:space="preserve"> </w:t>
      </w:r>
      <w:r w:rsidR="009E72F2" w:rsidRPr="009E72F2">
        <w:rPr>
          <w:shd w:val="clear" w:color="auto" w:fill="FFFFFF"/>
        </w:rPr>
        <w:t>opisujący stosunek liczbowy pokolenia dziadków do pokolenia wnuków</w:t>
      </w:r>
      <w:r w:rsidR="00ED6897">
        <w:rPr>
          <w:shd w:val="clear" w:color="auto" w:fill="FFFFFF"/>
        </w:rPr>
        <w:t>.</w:t>
      </w:r>
      <w:r w:rsidR="009E72F2" w:rsidRPr="009E72F2">
        <w:rPr>
          <w:shd w:val="clear" w:color="auto" w:fill="FFFFFF"/>
        </w:rPr>
        <w:t xml:space="preserve"> </w:t>
      </w:r>
      <w:r w:rsidR="00ED6897">
        <w:rPr>
          <w:shd w:val="clear" w:color="auto" w:fill="FFFFFF"/>
        </w:rPr>
        <w:t>W 2011 r. w województwie</w:t>
      </w:r>
      <w:r w:rsidR="009E72F2" w:rsidRPr="009E72F2">
        <w:rPr>
          <w:shd w:val="clear" w:color="auto" w:fill="FFFFFF"/>
        </w:rPr>
        <w:t xml:space="preserve"> wielkopolski</w:t>
      </w:r>
      <w:r w:rsidR="00ED6897">
        <w:rPr>
          <w:shd w:val="clear" w:color="auto" w:fill="FFFFFF"/>
        </w:rPr>
        <w:t xml:space="preserve">m wskaźnik ten </w:t>
      </w:r>
      <w:r w:rsidR="009E72F2" w:rsidRPr="009E72F2">
        <w:rPr>
          <w:shd w:val="clear" w:color="auto" w:fill="FFFFFF"/>
        </w:rPr>
        <w:t xml:space="preserve">lokował się na poziomie </w:t>
      </w:r>
      <w:r w:rsidR="009E72F2">
        <w:rPr>
          <w:shd w:val="clear" w:color="auto" w:fill="FFFFFF"/>
        </w:rPr>
        <w:t>75</w:t>
      </w:r>
      <w:r w:rsidR="009E72F2" w:rsidRPr="009E72F2">
        <w:rPr>
          <w:shd w:val="clear" w:color="auto" w:fill="FFFFFF"/>
        </w:rPr>
        <w:t xml:space="preserve">, </w:t>
      </w:r>
      <w:r w:rsidR="009E72F2">
        <w:rPr>
          <w:shd w:val="clear" w:color="auto" w:fill="FFFFFF"/>
        </w:rPr>
        <w:t>natomiast</w:t>
      </w:r>
      <w:r w:rsidR="009E72F2" w:rsidRPr="009E72F2">
        <w:rPr>
          <w:shd w:val="clear" w:color="auto" w:fill="FFFFFF"/>
        </w:rPr>
        <w:t xml:space="preserve"> </w:t>
      </w:r>
      <w:r w:rsidR="009E72F2">
        <w:rPr>
          <w:shd w:val="clear" w:color="auto" w:fill="FFFFFF"/>
        </w:rPr>
        <w:t>10</w:t>
      </w:r>
      <w:r w:rsidR="009E72F2" w:rsidRPr="009E72F2">
        <w:rPr>
          <w:shd w:val="clear" w:color="auto" w:fill="FFFFFF"/>
        </w:rPr>
        <w:t xml:space="preserve"> lat później populacja dziadków okazała się liczniejsza niż</w:t>
      </w:r>
      <w:r w:rsidR="009E72F2">
        <w:rPr>
          <w:shd w:val="clear" w:color="auto" w:fill="FFFFFF"/>
        </w:rPr>
        <w:t xml:space="preserve"> </w:t>
      </w:r>
      <w:r w:rsidR="009E72F2" w:rsidRPr="009E72F2">
        <w:rPr>
          <w:shd w:val="clear" w:color="auto" w:fill="FFFFFF"/>
        </w:rPr>
        <w:t xml:space="preserve">zbiorowość wnuków. </w:t>
      </w:r>
      <w:r w:rsidR="009E72F2">
        <w:rPr>
          <w:shd w:val="clear" w:color="auto" w:fill="FFFFFF"/>
        </w:rPr>
        <w:t>Według NSP 2021 n</w:t>
      </w:r>
      <w:r w:rsidR="009E72F2" w:rsidRPr="009E72F2">
        <w:rPr>
          <w:shd w:val="clear" w:color="auto" w:fill="FFFFFF"/>
        </w:rPr>
        <w:t>a 100 osób w wieku 0–14 lat przypadały niemal 10</w:t>
      </w:r>
      <w:r w:rsidR="009E72F2">
        <w:rPr>
          <w:shd w:val="clear" w:color="auto" w:fill="FFFFFF"/>
        </w:rPr>
        <w:t>4</w:t>
      </w:r>
      <w:r w:rsidR="007B16C3">
        <w:rPr>
          <w:shd w:val="clear" w:color="auto" w:fill="FFFFFF"/>
        </w:rPr>
        <w:t xml:space="preserve"> osoby w </w:t>
      </w:r>
      <w:r w:rsidR="009E72F2" w:rsidRPr="009E72F2">
        <w:rPr>
          <w:shd w:val="clear" w:color="auto" w:fill="FFFFFF"/>
        </w:rPr>
        <w:t>wieku 65</w:t>
      </w:r>
      <w:r w:rsidR="009E72F2">
        <w:rPr>
          <w:shd w:val="clear" w:color="auto" w:fill="FFFFFF"/>
        </w:rPr>
        <w:t xml:space="preserve"> </w:t>
      </w:r>
      <w:r w:rsidR="009E72F2" w:rsidRPr="009E72F2">
        <w:rPr>
          <w:shd w:val="clear" w:color="auto" w:fill="FFFFFF"/>
        </w:rPr>
        <w:t>lat i więcej</w:t>
      </w:r>
      <w:r w:rsidR="009E72F2" w:rsidRPr="003D58E8">
        <w:rPr>
          <w:shd w:val="clear" w:color="auto" w:fill="FFFFFF"/>
        </w:rPr>
        <w:t>.</w:t>
      </w:r>
      <w:r w:rsidR="004E2214" w:rsidRPr="003D58E8">
        <w:rPr>
          <w:shd w:val="clear" w:color="auto" w:fill="FFFFFF"/>
        </w:rPr>
        <w:t xml:space="preserve"> </w:t>
      </w:r>
      <w:r w:rsidR="007E27E1" w:rsidRPr="003D58E8">
        <w:rPr>
          <w:shd w:val="clear" w:color="auto" w:fill="FFFFFF"/>
        </w:rPr>
        <w:t>Pomimo wyraźnej tendencji wzrostu przewagi liczebnej starszego pokolenia, wielkopolskie pozostaje regionem o jednej z najniższych wartości indeksu starości. Na poziomie kraju relacja ta wyniosła 119 osób na 100, a najwyższa wartość miernika charakteryzowała województwa</w:t>
      </w:r>
      <w:r w:rsidR="00C45636" w:rsidRPr="003D58E8">
        <w:rPr>
          <w:shd w:val="clear" w:color="auto" w:fill="FFFFFF"/>
        </w:rPr>
        <w:t>:</w:t>
      </w:r>
      <w:r w:rsidR="007E27E1" w:rsidRPr="003D58E8">
        <w:rPr>
          <w:shd w:val="clear" w:color="auto" w:fill="FFFFFF"/>
        </w:rPr>
        <w:t xml:space="preserve"> świętokrzyskie (146)</w:t>
      </w:r>
      <w:r w:rsidR="00C45636" w:rsidRPr="003D58E8">
        <w:rPr>
          <w:shd w:val="clear" w:color="auto" w:fill="FFFFFF"/>
        </w:rPr>
        <w:t>,</w:t>
      </w:r>
      <w:r w:rsidR="007E27E1" w:rsidRPr="003D58E8">
        <w:rPr>
          <w:shd w:val="clear" w:color="auto" w:fill="FFFFFF"/>
        </w:rPr>
        <w:t xml:space="preserve"> łódzkie </w:t>
      </w:r>
      <w:r w:rsidR="00C45636" w:rsidRPr="003D58E8">
        <w:rPr>
          <w:shd w:val="clear" w:color="auto" w:fill="FFFFFF"/>
        </w:rPr>
        <w:t xml:space="preserve">(143) </w:t>
      </w:r>
      <w:r w:rsidR="007E27E1" w:rsidRPr="003D58E8">
        <w:rPr>
          <w:shd w:val="clear" w:color="auto" w:fill="FFFFFF"/>
        </w:rPr>
        <w:t>i opolskie (</w:t>
      </w:r>
      <w:r w:rsidR="00C45636" w:rsidRPr="003D58E8">
        <w:rPr>
          <w:shd w:val="clear" w:color="auto" w:fill="FFFFFF"/>
        </w:rPr>
        <w:t>138</w:t>
      </w:r>
      <w:r w:rsidR="007E27E1" w:rsidRPr="003D58E8">
        <w:rPr>
          <w:shd w:val="clear" w:color="auto" w:fill="FFFFFF"/>
        </w:rPr>
        <w:t>). Wskaźnik</w:t>
      </w:r>
      <w:r w:rsidR="00C45636" w:rsidRPr="003D58E8">
        <w:rPr>
          <w:shd w:val="clear" w:color="auto" w:fill="FFFFFF"/>
        </w:rPr>
        <w:t xml:space="preserve"> </w:t>
      </w:r>
      <w:r w:rsidR="007E27E1" w:rsidRPr="003D58E8">
        <w:rPr>
          <w:shd w:val="clear" w:color="auto" w:fill="FFFFFF"/>
        </w:rPr>
        <w:t>niższy od notowanego w wielkopolskim wystąpił jedynie w pomorskim, gdzie ukształtował się na poziomie</w:t>
      </w:r>
      <w:r w:rsidR="00C45636" w:rsidRPr="003D58E8">
        <w:rPr>
          <w:shd w:val="clear" w:color="auto" w:fill="FFFFFF"/>
        </w:rPr>
        <w:t xml:space="preserve"> </w:t>
      </w:r>
      <w:r w:rsidR="007E27E1" w:rsidRPr="003D58E8">
        <w:rPr>
          <w:shd w:val="clear" w:color="auto" w:fill="FFFFFF"/>
        </w:rPr>
        <w:t>103 osoby na 100.</w:t>
      </w:r>
      <w:r w:rsidR="00C45636" w:rsidRPr="003D58E8">
        <w:rPr>
          <w:shd w:val="clear" w:color="auto" w:fill="FFFFFF"/>
        </w:rPr>
        <w:t xml:space="preserve"> </w:t>
      </w:r>
      <w:r w:rsidR="00C45636">
        <w:rPr>
          <w:shd w:val="clear" w:color="auto" w:fill="FFFFFF"/>
        </w:rPr>
        <w:t>Odwrócenie relacji pokoleniowej, w porównaniu z poprzednim spisem,</w:t>
      </w:r>
      <w:r w:rsidR="004E2214">
        <w:rPr>
          <w:shd w:val="clear" w:color="auto" w:fill="FFFFFF"/>
        </w:rPr>
        <w:t xml:space="preserve"> wyraźniej zaznaczało się w miastach, gdzie </w:t>
      </w:r>
      <w:r w:rsidR="0087422F">
        <w:rPr>
          <w:shd w:val="clear" w:color="auto" w:fill="FFFFFF"/>
        </w:rPr>
        <w:t>indeks starości wy</w:t>
      </w:r>
      <w:r w:rsidR="004E2214">
        <w:rPr>
          <w:shd w:val="clear" w:color="auto" w:fill="FFFFFF"/>
        </w:rPr>
        <w:t xml:space="preserve">niósł 134 wobec 90 </w:t>
      </w:r>
      <w:r w:rsidR="0087422F">
        <w:rPr>
          <w:shd w:val="clear" w:color="auto" w:fill="FFFFFF"/>
        </w:rPr>
        <w:t>w </w:t>
      </w:r>
      <w:r w:rsidR="004E2214">
        <w:rPr>
          <w:shd w:val="clear" w:color="auto" w:fill="FFFFFF"/>
        </w:rPr>
        <w:t>2011 r. Na wsi, pomimo zmian, nadal utrzymała się przewaga młodego pokolenia</w:t>
      </w:r>
      <w:r w:rsidR="00574C7B">
        <w:rPr>
          <w:shd w:val="clear" w:color="auto" w:fill="FFFFFF"/>
        </w:rPr>
        <w:t>.</w:t>
      </w:r>
      <w:r w:rsidR="000476CB">
        <w:rPr>
          <w:shd w:val="clear" w:color="auto" w:fill="FFFFFF"/>
        </w:rPr>
        <w:t xml:space="preserve"> </w:t>
      </w:r>
      <w:r w:rsidR="00574C7B">
        <w:rPr>
          <w:shd w:val="clear" w:color="auto" w:fill="FFFFFF"/>
        </w:rPr>
        <w:t>I</w:t>
      </w:r>
      <w:r w:rsidR="000476CB">
        <w:rPr>
          <w:shd w:val="clear" w:color="auto" w:fill="FFFFFF"/>
        </w:rPr>
        <w:t>ndeks starości wyniósł</w:t>
      </w:r>
      <w:r w:rsidR="00574C7B">
        <w:rPr>
          <w:shd w:val="clear" w:color="auto" w:fill="FFFFFF"/>
        </w:rPr>
        <w:t xml:space="preserve"> tu</w:t>
      </w:r>
      <w:r w:rsidR="004E2214">
        <w:rPr>
          <w:shd w:val="clear" w:color="auto" w:fill="FFFFFF"/>
        </w:rPr>
        <w:t xml:space="preserve"> odpowiednio</w:t>
      </w:r>
      <w:r w:rsidR="000476CB">
        <w:rPr>
          <w:shd w:val="clear" w:color="auto" w:fill="FFFFFF"/>
        </w:rPr>
        <w:t xml:space="preserve"> 77</w:t>
      </w:r>
      <w:r w:rsidR="008E34F1">
        <w:rPr>
          <w:shd w:val="clear" w:color="auto" w:fill="FFFFFF"/>
        </w:rPr>
        <w:t xml:space="preserve"> wobec 59</w:t>
      </w:r>
      <w:r w:rsidR="00596A18">
        <w:rPr>
          <w:shd w:val="clear" w:color="auto" w:fill="FFFFFF"/>
        </w:rPr>
        <w:t xml:space="preserve"> według poprzedniego spisu</w:t>
      </w:r>
      <w:r w:rsidR="000476CB">
        <w:rPr>
          <w:shd w:val="clear" w:color="auto" w:fill="FFFFFF"/>
        </w:rPr>
        <w:t>.</w:t>
      </w:r>
      <w:r w:rsidR="002328F4">
        <w:rPr>
          <w:shd w:val="clear" w:color="auto" w:fill="FFFFFF"/>
        </w:rPr>
        <w:t xml:space="preserve"> N</w:t>
      </w:r>
      <w:r w:rsidR="002328F4" w:rsidRPr="002328F4">
        <w:rPr>
          <w:shd w:val="clear" w:color="auto" w:fill="FFFFFF"/>
        </w:rPr>
        <w:t>ajmniej korzystn</w:t>
      </w:r>
      <w:r w:rsidR="002328F4">
        <w:rPr>
          <w:shd w:val="clear" w:color="auto" w:fill="FFFFFF"/>
        </w:rPr>
        <w:t>e</w:t>
      </w:r>
      <w:r w:rsidR="002328F4" w:rsidRPr="002328F4">
        <w:rPr>
          <w:shd w:val="clear" w:color="auto" w:fill="FFFFFF"/>
        </w:rPr>
        <w:t xml:space="preserve"> </w:t>
      </w:r>
      <w:r w:rsidR="002328F4" w:rsidRPr="002328F4">
        <w:rPr>
          <w:shd w:val="clear" w:color="auto" w:fill="FFFFFF"/>
        </w:rPr>
        <w:lastRenderedPageBreak/>
        <w:t>wielkości</w:t>
      </w:r>
      <w:r w:rsidR="002328F4">
        <w:rPr>
          <w:shd w:val="clear" w:color="auto" w:fill="FFFFFF"/>
        </w:rPr>
        <w:t xml:space="preserve"> </w:t>
      </w:r>
      <w:r w:rsidR="002328F4" w:rsidRPr="002328F4">
        <w:rPr>
          <w:shd w:val="clear" w:color="auto" w:fill="FFFFFF"/>
        </w:rPr>
        <w:t xml:space="preserve">indeksu starości charakteryzowały </w:t>
      </w:r>
      <w:r w:rsidR="002328F4">
        <w:rPr>
          <w:shd w:val="clear" w:color="auto" w:fill="FFFFFF"/>
        </w:rPr>
        <w:t xml:space="preserve">gminy wyróżniające się także wysokim poziomem współczynnika starości demograficznej, a także mediany. </w:t>
      </w:r>
      <w:r w:rsidR="00C56BC4">
        <w:rPr>
          <w:shd w:val="clear" w:color="auto" w:fill="FFFFFF"/>
        </w:rPr>
        <w:t>W</w:t>
      </w:r>
      <w:r w:rsidR="007B16C3">
        <w:rPr>
          <w:shd w:val="clear" w:color="auto" w:fill="FFFFFF"/>
        </w:rPr>
        <w:t xml:space="preserve"> </w:t>
      </w:r>
      <w:r w:rsidR="00C56BC4">
        <w:rPr>
          <w:shd w:val="clear" w:color="auto" w:fill="FFFFFF"/>
        </w:rPr>
        <w:t>2011 r. p</w:t>
      </w:r>
      <w:r w:rsidR="002328F4">
        <w:rPr>
          <w:shd w:val="clear" w:color="auto" w:fill="FFFFFF"/>
        </w:rPr>
        <w:t>rzewag</w:t>
      </w:r>
      <w:r w:rsidR="00C56BC4">
        <w:rPr>
          <w:shd w:val="clear" w:color="auto" w:fill="FFFFFF"/>
        </w:rPr>
        <w:t>ę</w:t>
      </w:r>
      <w:r w:rsidR="002328F4">
        <w:rPr>
          <w:shd w:val="clear" w:color="auto" w:fill="FFFFFF"/>
        </w:rPr>
        <w:t xml:space="preserve"> pokolenia 65 lat i więcej nad pokoleniem 0–14 lat</w:t>
      </w:r>
      <w:r w:rsidR="007B16C3">
        <w:rPr>
          <w:shd w:val="clear" w:color="auto" w:fill="FFFFFF"/>
        </w:rPr>
        <w:t xml:space="preserve"> obserwowano w</w:t>
      </w:r>
      <w:r w:rsidR="003D58E8">
        <w:rPr>
          <w:shd w:val="clear" w:color="auto" w:fill="FFFFFF"/>
        </w:rPr>
        <w:t xml:space="preserve"> </w:t>
      </w:r>
      <w:r w:rsidR="00C56BC4">
        <w:rPr>
          <w:shd w:val="clear" w:color="auto" w:fill="FFFFFF"/>
        </w:rPr>
        <w:t>7 gminach</w:t>
      </w:r>
      <w:r w:rsidR="00DB008D">
        <w:rPr>
          <w:shd w:val="clear" w:color="auto" w:fill="FFFFFF"/>
        </w:rPr>
        <w:t>.</w:t>
      </w:r>
      <w:r w:rsidR="00C56BC4">
        <w:rPr>
          <w:shd w:val="clear" w:color="auto" w:fill="FFFFFF"/>
        </w:rPr>
        <w:t xml:space="preserve"> </w:t>
      </w:r>
      <w:r w:rsidR="00DB008D">
        <w:rPr>
          <w:shd w:val="clear" w:color="auto" w:fill="FFFFFF"/>
        </w:rPr>
        <w:t>W</w:t>
      </w:r>
      <w:r w:rsidR="00C56BC4">
        <w:rPr>
          <w:shd w:val="clear" w:color="auto" w:fill="FFFFFF"/>
        </w:rPr>
        <w:t xml:space="preserve"> 2021 r. </w:t>
      </w:r>
      <w:r w:rsidR="007B16C3">
        <w:rPr>
          <w:shd w:val="clear" w:color="auto" w:fill="FFFFFF"/>
        </w:rPr>
        <w:t>ta</w:t>
      </w:r>
      <w:r w:rsidR="00C56BC4">
        <w:rPr>
          <w:shd w:val="clear" w:color="auto" w:fill="FFFFFF"/>
        </w:rPr>
        <w:t xml:space="preserve"> liczba zwiększyła się 9-krotnie (do 63</w:t>
      </w:r>
      <w:r w:rsidR="007B16C3">
        <w:rPr>
          <w:shd w:val="clear" w:color="auto" w:fill="FFFFFF"/>
        </w:rPr>
        <w:t xml:space="preserve"> gmin</w:t>
      </w:r>
      <w:r w:rsidR="00C56BC4">
        <w:rPr>
          <w:shd w:val="clear" w:color="auto" w:fill="FFFFFF"/>
        </w:rPr>
        <w:t xml:space="preserve">), a ponadto w 6 gminach </w:t>
      </w:r>
      <w:r w:rsidR="00DB008D">
        <w:rPr>
          <w:shd w:val="clear" w:color="auto" w:fill="FFFFFF"/>
        </w:rPr>
        <w:t>wystąpiła</w:t>
      </w:r>
      <w:r w:rsidR="00C56BC4">
        <w:rPr>
          <w:shd w:val="clear" w:color="auto" w:fill="FFFFFF"/>
        </w:rPr>
        <w:t xml:space="preserve"> równowaga międzypokoleniowa.</w:t>
      </w:r>
      <w:r w:rsidR="00DB008D">
        <w:rPr>
          <w:shd w:val="clear" w:color="auto" w:fill="FFFFFF"/>
        </w:rPr>
        <w:t xml:space="preserve"> Najwyższe wartości indeks starości przyjął w 2 miastach na prawach powiatu: Koninie – 183 i Kaliszu</w:t>
      </w:r>
      <w:r w:rsidR="00D5489D">
        <w:rPr>
          <w:shd w:val="clear" w:color="auto" w:fill="FFFFFF"/>
        </w:rPr>
        <w:t xml:space="preserve"> </w:t>
      </w:r>
      <w:r w:rsidR="00DB008D">
        <w:rPr>
          <w:shd w:val="clear" w:color="auto" w:fill="FFFFFF"/>
        </w:rPr>
        <w:t>– 167 oraz w gminie wiejskiej Chodów (w powiecie kolskim) – 167</w:t>
      </w:r>
      <w:r w:rsidR="0030759B">
        <w:rPr>
          <w:shd w:val="clear" w:color="auto" w:fill="FFFFFF"/>
        </w:rPr>
        <w:t>, gdzie starsze pokolenie przeważało liczebnie już wcześniej</w:t>
      </w:r>
      <w:r w:rsidR="00DB008D">
        <w:rPr>
          <w:shd w:val="clear" w:color="auto" w:fill="FFFFFF"/>
        </w:rPr>
        <w:t xml:space="preserve">. </w:t>
      </w:r>
      <w:r w:rsidR="00242806">
        <w:rPr>
          <w:shd w:val="clear" w:color="auto" w:fill="FFFFFF"/>
        </w:rPr>
        <w:t xml:space="preserve">Stosunkowo wysoko wskaźnik ten kształtował się również w </w:t>
      </w:r>
      <w:r w:rsidR="00DB008D">
        <w:rPr>
          <w:shd w:val="clear" w:color="auto" w:fill="FFFFFF"/>
        </w:rPr>
        <w:t>gminach miejskich</w:t>
      </w:r>
      <w:r w:rsidR="00242806">
        <w:rPr>
          <w:shd w:val="clear" w:color="auto" w:fill="FFFFFF"/>
        </w:rPr>
        <w:t>: Koło – 165, Turek –</w:t>
      </w:r>
      <w:r w:rsidR="00DB008D">
        <w:rPr>
          <w:shd w:val="clear" w:color="auto" w:fill="FFFFFF"/>
        </w:rPr>
        <w:t xml:space="preserve"> </w:t>
      </w:r>
      <w:r w:rsidR="008E34F1">
        <w:rPr>
          <w:shd w:val="clear" w:color="auto" w:fill="FFFFFF"/>
        </w:rPr>
        <w:t>161</w:t>
      </w:r>
      <w:r w:rsidR="00242806">
        <w:rPr>
          <w:shd w:val="clear" w:color="auto" w:fill="FFFFFF"/>
        </w:rPr>
        <w:t>, Chodzież – 158, Puszczykowo – 156, Słupca i Poznań – po 152, Czarnków – 147, Ostrów Wielkopolski – 146, Piła – 141</w:t>
      </w:r>
      <w:r w:rsidR="008E34F1">
        <w:rPr>
          <w:shd w:val="clear" w:color="auto" w:fill="FFFFFF"/>
        </w:rPr>
        <w:t xml:space="preserve"> oraz Leszno – 140</w:t>
      </w:r>
      <w:r w:rsidR="00242806">
        <w:rPr>
          <w:shd w:val="clear" w:color="auto" w:fill="FFFFFF"/>
        </w:rPr>
        <w:t xml:space="preserve">. </w:t>
      </w:r>
      <w:r w:rsidR="00825B6A">
        <w:rPr>
          <w:shd w:val="clear" w:color="auto" w:fill="FFFFFF"/>
        </w:rPr>
        <w:t>W</w:t>
      </w:r>
      <w:r w:rsidR="0030759B">
        <w:rPr>
          <w:shd w:val="clear" w:color="auto" w:fill="FFFFFF"/>
        </w:rPr>
        <w:t xml:space="preserve"> </w:t>
      </w:r>
      <w:r w:rsidR="00825B6A">
        <w:rPr>
          <w:shd w:val="clear" w:color="auto" w:fill="FFFFFF"/>
        </w:rPr>
        <w:t>większości gmin z tej grupy (p</w:t>
      </w:r>
      <w:r w:rsidR="00242806">
        <w:rPr>
          <w:shd w:val="clear" w:color="auto" w:fill="FFFFFF"/>
        </w:rPr>
        <w:t>oza Poznaniem i Ostrowem Wielkopolskim</w:t>
      </w:r>
      <w:r w:rsidR="00825B6A">
        <w:rPr>
          <w:shd w:val="clear" w:color="auto" w:fill="FFFFFF"/>
        </w:rPr>
        <w:t>)</w:t>
      </w:r>
      <w:r w:rsidR="00242806">
        <w:rPr>
          <w:shd w:val="clear" w:color="auto" w:fill="FFFFFF"/>
        </w:rPr>
        <w:t xml:space="preserve"> </w:t>
      </w:r>
      <w:r w:rsidR="003D58E8">
        <w:rPr>
          <w:shd w:val="clear" w:color="auto" w:fill="FFFFFF"/>
        </w:rPr>
        <w:t>w </w:t>
      </w:r>
      <w:r w:rsidR="00825B6A">
        <w:rPr>
          <w:shd w:val="clear" w:color="auto" w:fill="FFFFFF"/>
        </w:rPr>
        <w:t>odniesieniu do 2011 r. nastąpiła</w:t>
      </w:r>
      <w:r w:rsidR="00825B6A" w:rsidRPr="00825B6A">
        <w:rPr>
          <w:shd w:val="clear" w:color="auto" w:fill="FFFFFF"/>
        </w:rPr>
        <w:t xml:space="preserve"> </w:t>
      </w:r>
      <w:r w:rsidR="00825B6A">
        <w:rPr>
          <w:shd w:val="clear" w:color="auto" w:fill="FFFFFF"/>
        </w:rPr>
        <w:t>zmiana relacji pokoleniowej.</w:t>
      </w:r>
      <w:r w:rsidR="00E26CA6">
        <w:rPr>
          <w:shd w:val="clear" w:color="auto" w:fill="FFFFFF"/>
        </w:rPr>
        <w:t xml:space="preserve"> </w:t>
      </w:r>
      <w:r w:rsidR="00E26CA6" w:rsidRPr="00E26CA6">
        <w:rPr>
          <w:shd w:val="clear" w:color="auto" w:fill="FFFFFF"/>
        </w:rPr>
        <w:t>Najniższy poziom wskaźnika</w:t>
      </w:r>
      <w:r w:rsidR="00A864D6">
        <w:rPr>
          <w:shd w:val="clear" w:color="auto" w:fill="FFFFFF"/>
        </w:rPr>
        <w:t xml:space="preserve"> odnotowano w</w:t>
      </w:r>
      <w:r w:rsidR="0030759B">
        <w:rPr>
          <w:shd w:val="clear" w:color="auto" w:fill="FFFFFF"/>
        </w:rPr>
        <w:t xml:space="preserve"> </w:t>
      </w:r>
      <w:r w:rsidR="00E26CA6">
        <w:rPr>
          <w:shd w:val="clear" w:color="auto" w:fill="FFFFFF"/>
        </w:rPr>
        <w:t>„młodych” gminach powiatu poznańskiego:</w:t>
      </w:r>
      <w:r w:rsidR="00A864D6">
        <w:rPr>
          <w:shd w:val="clear" w:color="auto" w:fill="FFFFFF"/>
        </w:rPr>
        <w:t xml:space="preserve"> Komornikach – 37, Kleszczewie – 38, </w:t>
      </w:r>
      <w:r w:rsidR="00ED6185">
        <w:rPr>
          <w:shd w:val="clear" w:color="auto" w:fill="FFFFFF"/>
        </w:rPr>
        <w:br/>
      </w:r>
      <w:r w:rsidR="00A864D6">
        <w:rPr>
          <w:shd w:val="clear" w:color="auto" w:fill="FFFFFF"/>
        </w:rPr>
        <w:t>Dopiewie – 40 i Rokietnicy – 46, gdzie wiek środkowy kształtował się na poziomie ok. 36</w:t>
      </w:r>
      <w:r w:rsidR="0030759B">
        <w:rPr>
          <w:shd w:val="clear" w:color="auto" w:fill="FFFFFF"/>
        </w:rPr>
        <w:t xml:space="preserve"> lat wobec 40 lat przeciętnie w </w:t>
      </w:r>
      <w:r w:rsidR="00A864D6">
        <w:rPr>
          <w:shd w:val="clear" w:color="auto" w:fill="FFFFFF"/>
        </w:rPr>
        <w:t>województwie i ok.</w:t>
      </w:r>
      <w:r w:rsidR="00ED6185">
        <w:rPr>
          <w:shd w:val="clear" w:color="auto" w:fill="FFFFFF"/>
        </w:rPr>
        <w:t xml:space="preserve"> </w:t>
      </w:r>
      <w:r w:rsidR="00A864D6">
        <w:rPr>
          <w:shd w:val="clear" w:color="auto" w:fill="FFFFFF"/>
        </w:rPr>
        <w:t>45–46 lat w gminach o najwyższej wartości indeksu starości.</w:t>
      </w:r>
    </w:p>
    <w:p w:rsidR="00A864D6" w:rsidRDefault="0076675A" w:rsidP="00A71FD1">
      <w:pPr>
        <w:pStyle w:val="Tytuwykresu0"/>
        <w:rPr>
          <w:shd w:val="clear" w:color="auto" w:fill="FFFFFF"/>
        </w:rPr>
      </w:pPr>
      <w:r w:rsidRPr="0076675A">
        <w:drawing>
          <wp:anchor distT="0" distB="0" distL="114300" distR="114300" simplePos="0" relativeHeight="251798528" behindDoc="0" locked="0" layoutInCell="1" allowOverlap="1">
            <wp:simplePos x="0" y="0"/>
            <wp:positionH relativeFrom="column">
              <wp:posOffset>449402</wp:posOffset>
            </wp:positionH>
            <wp:positionV relativeFrom="paragraph">
              <wp:posOffset>665480</wp:posOffset>
            </wp:positionV>
            <wp:extent cx="4228465" cy="5340350"/>
            <wp:effectExtent l="0" t="0" r="635" b="0"/>
            <wp:wrapTopAndBottom/>
            <wp:docPr id="7" name="Obraz 7" descr="Kartogram – gminy województwa wielkopolskiego, przedstawiający indeks starości, tj. liczbę osób w wieku 65 lat i więcej przypadającą na 100 osób w wieku 0–14 lat w 2021 r. Cieniowanie (6 przedziałów). Dodatkowo wartość dla województwa wielkopolskiego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8465" cy="5340350"/>
                    </a:xfrm>
                    <a:prstGeom prst="rect">
                      <a:avLst/>
                    </a:prstGeom>
                    <a:noFill/>
                    <a:ln>
                      <a:noFill/>
                    </a:ln>
                  </pic:spPr>
                </pic:pic>
              </a:graphicData>
            </a:graphic>
          </wp:anchor>
        </w:drawing>
      </w:r>
      <w:r w:rsidR="005D24E2">
        <w:rPr>
          <w:shd w:val="clear" w:color="auto" w:fill="FFFFFF"/>
        </w:rPr>
        <w:t>Mapa 5</w:t>
      </w:r>
      <w:r w:rsidR="00A864D6">
        <w:rPr>
          <w:shd w:val="clear" w:color="auto" w:fill="FFFFFF"/>
        </w:rPr>
        <w:t xml:space="preserve">. Liczba osób w wieku 65 lat i więcej przypadająca na 100 osób w wieku 0–14 lat </w:t>
      </w:r>
      <w:r w:rsidR="00A864D6">
        <w:rPr>
          <w:shd w:val="clear" w:color="auto" w:fill="FFFFFF"/>
        </w:rPr>
        <w:br/>
      </w:r>
      <w:r w:rsidR="00A864D6">
        <w:rPr>
          <w:shd w:val="clear" w:color="auto" w:fill="FFFFFF"/>
        </w:rPr>
        <w:tab/>
        <w:t>w 2021 r.</w:t>
      </w:r>
      <w:r w:rsidR="005D24E2">
        <w:rPr>
          <w:shd w:val="clear" w:color="auto" w:fill="FFFFFF"/>
        </w:rPr>
        <w:br/>
      </w:r>
      <w:r w:rsidR="005D24E2">
        <w:rPr>
          <w:shd w:val="clear" w:color="auto" w:fill="FFFFFF"/>
        </w:rPr>
        <w:tab/>
      </w:r>
      <w:r w:rsidR="005D24E2" w:rsidRPr="00A71FD1">
        <w:rPr>
          <w:b w:val="0"/>
          <w:shd w:val="clear" w:color="auto" w:fill="FFFFFF"/>
        </w:rPr>
        <w:t>Stan w dniu 31 marca</w:t>
      </w:r>
    </w:p>
    <w:p w:rsidR="00D5489D" w:rsidRDefault="00D5489D">
      <w:pPr>
        <w:spacing w:before="0" w:after="160" w:line="259" w:lineRule="auto"/>
        <w:rPr>
          <w:shd w:val="clear" w:color="auto" w:fill="FFFFFF"/>
        </w:rPr>
      </w:pPr>
      <w:r>
        <w:rPr>
          <w:shd w:val="clear" w:color="auto" w:fill="FFFFFF"/>
        </w:rPr>
        <w:br w:type="page"/>
      </w:r>
    </w:p>
    <w:bookmarkEnd w:id="3"/>
    <w:p w:rsidR="004A6296" w:rsidRPr="00932C98" w:rsidRDefault="00A71FD1" w:rsidP="002C4390">
      <w:pPr>
        <w:pStyle w:val="Tablicanotka"/>
        <w:rPr>
          <w:rFonts w:eastAsia="Times New Roman" w:cs="Times New Roman"/>
          <w:b/>
          <w:bCs/>
          <w:noProof w:val="0"/>
          <w:color w:val="001D77"/>
          <w:spacing w:val="0"/>
          <w:sz w:val="19"/>
          <w:szCs w:val="19"/>
          <w:lang w:eastAsia="pl-PL"/>
        </w:rPr>
      </w:pPr>
      <w:r w:rsidRPr="00966C9A">
        <w:rPr>
          <w:lang w:eastAsia="pl-PL"/>
        </w:rPr>
        <w:lastRenderedPageBreak/>
        <mc:AlternateContent>
          <mc:Choice Requires="wps">
            <w:drawing>
              <wp:anchor distT="45720" distB="45720" distL="114300" distR="114300" simplePos="0" relativeHeight="251795456" behindDoc="1" locked="0" layoutInCell="1" allowOverlap="1" wp14:anchorId="75DEDF0B" wp14:editId="021FAAB3">
                <wp:simplePos x="0" y="0"/>
                <wp:positionH relativeFrom="column">
                  <wp:posOffset>5231462</wp:posOffset>
                </wp:positionH>
                <wp:positionV relativeFrom="paragraph">
                  <wp:posOffset>222250</wp:posOffset>
                </wp:positionV>
                <wp:extent cx="1725295" cy="611505"/>
                <wp:effectExtent l="0" t="0" r="0" b="0"/>
                <wp:wrapTight wrapText="bothSides">
                  <wp:wrapPolygon edited="0">
                    <wp:start x="715" y="0"/>
                    <wp:lineTo x="715" y="20860"/>
                    <wp:lineTo x="20749" y="20860"/>
                    <wp:lineTo x="20749" y="0"/>
                    <wp:lineTo x="715" y="0"/>
                  </wp:wrapPolygon>
                </wp:wrapTight>
                <wp:docPr id="14" name="Pole tekstowe 14" descr="W porównaniu z NSP 2011 odnotowano wzrost liczby mieszkań o 13,7% i ich po-wierzchni użytkowej o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11505"/>
                        </a:xfrm>
                        <a:prstGeom prst="rect">
                          <a:avLst/>
                        </a:prstGeom>
                        <a:noFill/>
                        <a:ln w="9525">
                          <a:noFill/>
                          <a:miter lim="800000"/>
                          <a:headEnd/>
                          <a:tailEnd/>
                        </a:ln>
                      </wps:spPr>
                      <wps:txbx>
                        <w:txbxContent>
                          <w:p w:rsidR="00A71FD1" w:rsidRPr="00FD2A41" w:rsidRDefault="00A71FD1" w:rsidP="00A71FD1">
                            <w:pPr>
                              <w:pStyle w:val="tekstzboku"/>
                              <w:spacing w:before="0"/>
                              <w:rPr>
                                <w:bCs w:val="0"/>
                              </w:rPr>
                            </w:pPr>
                            <w:r>
                              <w:t xml:space="preserve">W </w:t>
                            </w:r>
                            <w:r w:rsidRPr="007978AC">
                              <w:t xml:space="preserve">porównaniu </w:t>
                            </w:r>
                            <w:r>
                              <w:t>z wynikami</w:t>
                            </w:r>
                            <w:r w:rsidRPr="007978AC">
                              <w:t xml:space="preserve"> NSP 2011 odnot</w:t>
                            </w:r>
                            <w:r>
                              <w:t>owano wzrost liczby mieszkań o 17,7</w:t>
                            </w:r>
                            <w:r w:rsidR="004F6CF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EDF0B" id="_x0000_t202" coordsize="21600,21600" o:spt="202" path="m,l,21600r21600,l21600,xe">
                <v:stroke joinstyle="miter"/>
                <v:path gradientshapeok="t" o:connecttype="rect"/>
              </v:shapetype>
              <v:shape id="Pole tekstowe 14" o:spid="_x0000_s1034" type="#_x0000_t202" alt="W porównaniu z NSP 2011 odnotowano wzrost liczby mieszkań o 13,7% i ich po-wierzchni użytkowej o 20,3%" style="position:absolute;margin-left:411.95pt;margin-top:17.5pt;width:135.85pt;height:48.15pt;z-index:-25152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" filled="f" stroked="f">
                <v:textbox>
                  <w:txbxContent>
                    <w:p w:rsidR="00A71FD1" w:rsidRPr="00FD2A41" w:rsidRDefault="00A71FD1" w:rsidP="00A71FD1">
                      <w:pPr>
                        <w:pStyle w:val="tekstzboku"/>
                        <w:spacing w:before="0"/>
                        <w:rPr>
                          <w:bCs w:val="0"/>
                        </w:rPr>
                      </w:pPr>
                      <w:r>
                        <w:t xml:space="preserve">W </w:t>
                      </w:r>
                      <w:r w:rsidRPr="007978AC">
                        <w:t xml:space="preserve">porównaniu </w:t>
                      </w:r>
                      <w:r>
                        <w:t>z wynikami</w:t>
                      </w:r>
                      <w:r w:rsidRPr="007978AC">
                        <w:t xml:space="preserve"> NSP 2011 odnot</w:t>
                      </w:r>
                      <w:r>
                        <w:t>owano wzrost liczby mieszkań o 17,7</w:t>
                      </w:r>
                      <w:r w:rsidR="004F6CFC">
                        <w:t>%</w:t>
                      </w:r>
                    </w:p>
                  </w:txbxContent>
                </v:textbox>
                <w10:wrap type="tight"/>
              </v:shape>
            </w:pict>
          </mc:Fallback>
        </mc:AlternateContent>
      </w:r>
      <w:r w:rsidR="004A6296" w:rsidRPr="00932C98">
        <w:rPr>
          <w:rFonts w:eastAsia="Times New Roman" w:cs="Times New Roman"/>
          <w:b/>
          <w:bCs/>
          <w:noProof w:val="0"/>
          <w:color w:val="001D77"/>
          <w:spacing w:val="0"/>
          <w:sz w:val="19"/>
          <w:szCs w:val="19"/>
          <w:lang w:eastAsia="pl-PL"/>
        </w:rPr>
        <w:t xml:space="preserve">Mieszkania i budynki </w:t>
      </w:r>
    </w:p>
    <w:p w:rsidR="00A71FD1" w:rsidRDefault="00A71FD1" w:rsidP="00A71FD1">
      <w:pPr>
        <w:rPr>
          <w:shd w:val="clear" w:color="auto" w:fill="FFFFFF"/>
        </w:rPr>
      </w:pPr>
      <w:r w:rsidRPr="005214D4">
        <w:rPr>
          <w:shd w:val="clear" w:color="auto" w:fill="FFFFFF"/>
        </w:rPr>
        <w:t xml:space="preserve">Według wyników NSP 2021 w </w:t>
      </w:r>
      <w:r>
        <w:rPr>
          <w:shd w:val="clear" w:color="auto" w:fill="FFFFFF"/>
        </w:rPr>
        <w:t>województwie wielkopolskim</w:t>
      </w:r>
      <w:r w:rsidRPr="00FD2A41">
        <w:rPr>
          <w:shd w:val="clear" w:color="auto" w:fill="FFFFFF"/>
        </w:rPr>
        <w:t xml:space="preserve"> </w:t>
      </w:r>
      <w:r w:rsidRPr="005214D4">
        <w:rPr>
          <w:shd w:val="clear" w:color="auto" w:fill="FFFFFF"/>
        </w:rPr>
        <w:t>31 marca 2021 r.</w:t>
      </w:r>
      <w:r>
        <w:rPr>
          <w:shd w:val="clear" w:color="auto" w:fill="FFFFFF"/>
        </w:rPr>
        <w:t xml:space="preserve"> </w:t>
      </w:r>
      <w:r w:rsidRPr="00FD2A41">
        <w:rPr>
          <w:shd w:val="clear" w:color="auto" w:fill="FFFFFF"/>
        </w:rPr>
        <w:t>zlokalizowan</w:t>
      </w:r>
      <w:r>
        <w:rPr>
          <w:shd w:val="clear" w:color="auto" w:fill="FFFFFF"/>
        </w:rPr>
        <w:t>y</w:t>
      </w:r>
      <w:r w:rsidRPr="00FD2A41">
        <w:rPr>
          <w:shd w:val="clear" w:color="auto" w:fill="FFFFFF"/>
        </w:rPr>
        <w:t xml:space="preserve">ch było </w:t>
      </w:r>
      <w:r w:rsidRPr="006A34B3">
        <w:rPr>
          <w:shd w:val="clear" w:color="auto" w:fill="FFFFFF"/>
        </w:rPr>
        <w:t>1311</w:t>
      </w:r>
      <w:r w:rsidR="005F214F">
        <w:rPr>
          <w:shd w:val="clear" w:color="auto" w:fill="FFFFFF"/>
        </w:rPr>
        <w:t>,6</w:t>
      </w:r>
      <w:r w:rsidRPr="006A34B3">
        <w:rPr>
          <w:shd w:val="clear" w:color="auto" w:fill="FFFFFF"/>
        </w:rPr>
        <w:t xml:space="preserve"> </w:t>
      </w:r>
      <w:r w:rsidR="005F214F">
        <w:rPr>
          <w:shd w:val="clear" w:color="auto" w:fill="FFFFFF"/>
        </w:rPr>
        <w:t xml:space="preserve">tys. </w:t>
      </w:r>
      <w:r w:rsidRPr="00FD2A41">
        <w:rPr>
          <w:shd w:val="clear" w:color="auto" w:fill="FFFFFF"/>
        </w:rPr>
        <w:t xml:space="preserve">mieszkań, które </w:t>
      </w:r>
      <w:r>
        <w:rPr>
          <w:shd w:val="clear" w:color="auto" w:fill="FFFFFF"/>
        </w:rPr>
        <w:t xml:space="preserve">znajdowały się </w:t>
      </w:r>
      <w:r w:rsidRPr="00FD2A41">
        <w:rPr>
          <w:shd w:val="clear" w:color="auto" w:fill="FFFFFF"/>
        </w:rPr>
        <w:t>w</w:t>
      </w:r>
      <w:r>
        <w:rPr>
          <w:shd w:val="clear" w:color="auto" w:fill="FFFFFF"/>
        </w:rPr>
        <w:t xml:space="preserve"> </w:t>
      </w:r>
      <w:r w:rsidRPr="006A34B3">
        <w:rPr>
          <w:shd w:val="clear" w:color="auto" w:fill="FFFFFF"/>
        </w:rPr>
        <w:t>647</w:t>
      </w:r>
      <w:r w:rsidR="005F214F">
        <w:rPr>
          <w:shd w:val="clear" w:color="auto" w:fill="FFFFFF"/>
        </w:rPr>
        <w:t>,9</w:t>
      </w:r>
      <w:r w:rsidRPr="006A34B3">
        <w:rPr>
          <w:shd w:val="clear" w:color="auto" w:fill="FFFFFF"/>
        </w:rPr>
        <w:t xml:space="preserve"> </w:t>
      </w:r>
      <w:r w:rsidR="005F214F">
        <w:rPr>
          <w:shd w:val="clear" w:color="auto" w:fill="FFFFFF"/>
        </w:rPr>
        <w:t xml:space="preserve">tys. </w:t>
      </w:r>
      <w:r>
        <w:rPr>
          <w:shd w:val="clear" w:color="auto" w:fill="FFFFFF"/>
        </w:rPr>
        <w:t>budynkach</w:t>
      </w:r>
      <w:r w:rsidRPr="00FD2A41">
        <w:rPr>
          <w:shd w:val="clear" w:color="auto" w:fill="FFFFFF"/>
        </w:rPr>
        <w:t xml:space="preserve">. </w:t>
      </w:r>
      <w:r>
        <w:rPr>
          <w:shd w:val="clear" w:color="auto" w:fill="FFFFFF"/>
        </w:rPr>
        <w:t>U</w:t>
      </w:r>
      <w:r w:rsidRPr="005F5840">
        <w:rPr>
          <w:shd w:val="clear" w:color="auto" w:fill="FFFFFF"/>
        </w:rPr>
        <w:t xml:space="preserve">dział w zasobach krajowych </w:t>
      </w:r>
      <w:r>
        <w:rPr>
          <w:shd w:val="clear" w:color="auto" w:fill="FFFFFF"/>
        </w:rPr>
        <w:t>wyniósł 8,6</w:t>
      </w:r>
      <w:r w:rsidRPr="005F5840">
        <w:rPr>
          <w:shd w:val="clear" w:color="auto" w:fill="FFFFFF"/>
        </w:rPr>
        <w:t>%</w:t>
      </w:r>
      <w:r>
        <w:rPr>
          <w:shd w:val="clear" w:color="auto" w:fill="FFFFFF"/>
        </w:rPr>
        <w:t xml:space="preserve"> w przypadku mieszkań i 9,5% w odniesieniu do budynków</w:t>
      </w:r>
      <w:r w:rsidRPr="005F5840">
        <w:rPr>
          <w:shd w:val="clear" w:color="auto" w:fill="FFFFFF"/>
        </w:rPr>
        <w:t>.</w:t>
      </w:r>
      <w:r>
        <w:rPr>
          <w:shd w:val="clear" w:color="auto" w:fill="FFFFFF"/>
        </w:rPr>
        <w:t xml:space="preserve"> </w:t>
      </w:r>
      <w:r w:rsidRPr="00D76947">
        <w:rPr>
          <w:shd w:val="clear" w:color="auto" w:fill="FFFFFF"/>
        </w:rPr>
        <w:t xml:space="preserve">W </w:t>
      </w:r>
      <w:r>
        <w:rPr>
          <w:shd w:val="clear" w:color="auto" w:fill="FFFFFF"/>
        </w:rPr>
        <w:t>okresie międzyspisowym liczba mieszkań wzrosła o 17</w:t>
      </w:r>
      <w:r w:rsidRPr="00D76947">
        <w:rPr>
          <w:shd w:val="clear" w:color="auto" w:fill="FFFFFF"/>
        </w:rPr>
        <w:t xml:space="preserve">,7%, a liczba budynków zwiększyła się o </w:t>
      </w:r>
      <w:r>
        <w:rPr>
          <w:shd w:val="clear" w:color="auto" w:fill="FFFFFF"/>
        </w:rPr>
        <w:t>17,8</w:t>
      </w:r>
      <w:r w:rsidRPr="00D76947">
        <w:rPr>
          <w:shd w:val="clear" w:color="auto" w:fill="FFFFFF"/>
        </w:rPr>
        <w:t xml:space="preserve">%. </w:t>
      </w:r>
    </w:p>
    <w:p w:rsidR="00A71FD1" w:rsidRPr="00AB28A8" w:rsidRDefault="00A71FD1" w:rsidP="00A71FD1">
      <w:pPr>
        <w:keepNext/>
        <w:spacing w:before="240" w:line="240" w:lineRule="auto"/>
        <w:outlineLvl w:val="0"/>
        <w:rPr>
          <w:rFonts w:eastAsia="Times New Roman" w:cs="Times New Roman"/>
          <w:b/>
          <w:bCs/>
          <w:color w:val="000000" w:themeColor="text1"/>
          <w:szCs w:val="19"/>
          <w:lang w:eastAsia="pl-PL"/>
        </w:rPr>
      </w:pPr>
      <w:r w:rsidRPr="00AB28A8">
        <w:rPr>
          <w:rFonts w:eastAsia="Times New Roman" w:cs="Times New Roman"/>
          <w:b/>
          <w:bCs/>
          <w:color w:val="000000" w:themeColor="text1"/>
          <w:szCs w:val="19"/>
          <w:lang w:eastAsia="pl-PL"/>
        </w:rPr>
        <w:t xml:space="preserve">Tablica </w:t>
      </w:r>
      <w:r>
        <w:rPr>
          <w:rFonts w:eastAsia="Times New Roman" w:cs="Times New Roman"/>
          <w:b/>
          <w:bCs/>
          <w:color w:val="000000" w:themeColor="text1"/>
          <w:szCs w:val="19"/>
          <w:lang w:eastAsia="pl-PL"/>
        </w:rPr>
        <w:t>2</w:t>
      </w:r>
      <w:r w:rsidRPr="00AB28A8">
        <w:rPr>
          <w:rFonts w:eastAsia="Times New Roman" w:cs="Times New Roman"/>
          <w:b/>
          <w:bCs/>
          <w:color w:val="000000" w:themeColor="text1"/>
          <w:szCs w:val="19"/>
          <w:lang w:eastAsia="pl-PL"/>
        </w:rPr>
        <w:t xml:space="preserve">. Mieszkania </w:t>
      </w:r>
      <w:r>
        <w:rPr>
          <w:rFonts w:eastAsia="Times New Roman" w:cs="Times New Roman"/>
          <w:b/>
          <w:bCs/>
          <w:color w:val="000000" w:themeColor="text1"/>
          <w:szCs w:val="19"/>
          <w:lang w:eastAsia="pl-PL"/>
        </w:rPr>
        <w:t>i</w:t>
      </w:r>
      <w:r w:rsidRPr="00AB28A8">
        <w:rPr>
          <w:rFonts w:eastAsia="Times New Roman" w:cs="Times New Roman"/>
          <w:b/>
          <w:bCs/>
          <w:color w:val="000000" w:themeColor="text1"/>
          <w:szCs w:val="19"/>
          <w:lang w:eastAsia="pl-PL"/>
        </w:rPr>
        <w:t xml:space="preserve"> </w:t>
      </w:r>
      <w:r w:rsidRPr="009620A5">
        <w:rPr>
          <w:rFonts w:eastAsia="Times New Roman" w:cs="Times New Roman"/>
          <w:b/>
          <w:bCs/>
          <w:color w:val="000000" w:themeColor="text1"/>
          <w:szCs w:val="19"/>
          <w:lang w:eastAsia="pl-PL"/>
        </w:rPr>
        <w:t>budynki</w:t>
      </w:r>
      <w:r>
        <w:rPr>
          <w:rFonts w:eastAsia="Times New Roman" w:cs="Times New Roman"/>
          <w:b/>
          <w:bCs/>
          <w:color w:val="000000" w:themeColor="text1"/>
          <w:szCs w:val="19"/>
          <w:lang w:eastAsia="pl-PL"/>
        </w:rPr>
        <w:br/>
        <w:t xml:space="preserve">                   </w:t>
      </w:r>
      <w:r w:rsidRPr="0047604C">
        <w:rPr>
          <w:rFonts w:eastAsia="Times New Roman" w:cs="Times New Roman"/>
          <w:bCs/>
          <w:color w:val="000000" w:themeColor="text1"/>
          <w:szCs w:val="19"/>
          <w:lang w:eastAsia="pl-PL"/>
        </w:rPr>
        <w:t>Stan w dniu 31 marca</w:t>
      </w:r>
    </w:p>
    <w:tbl>
      <w:tblPr>
        <w:tblW w:w="7938" w:type="dxa"/>
        <w:tblCellMar>
          <w:left w:w="70" w:type="dxa"/>
          <w:right w:w="70" w:type="dxa"/>
        </w:tblCellMar>
        <w:tblLook w:val="04A0" w:firstRow="1" w:lastRow="0" w:firstColumn="1" w:lastColumn="0" w:noHBand="0" w:noVBand="1"/>
        <w:tblCaption w:val="accessible"/>
      </w:tblPr>
      <w:tblGrid>
        <w:gridCol w:w="3686"/>
        <w:gridCol w:w="1417"/>
        <w:gridCol w:w="1417"/>
        <w:gridCol w:w="1418"/>
      </w:tblGrid>
      <w:tr w:rsidR="00A71FD1" w:rsidRPr="00AB28A8" w:rsidTr="000A5604">
        <w:trPr>
          <w:trHeight w:val="456"/>
        </w:trPr>
        <w:tc>
          <w:tcPr>
            <w:tcW w:w="3686" w:type="dxa"/>
            <w:vMerge w:val="restart"/>
            <w:tcBorders>
              <w:top w:val="single" w:sz="4" w:space="0" w:color="001D77"/>
              <w:right w:val="single" w:sz="4" w:space="0" w:color="001D77"/>
            </w:tcBorders>
            <w:noWrap/>
            <w:vAlign w:val="center"/>
            <w:hideMark/>
          </w:tcPr>
          <w:p w:rsidR="00A71FD1" w:rsidRPr="00AB28A8" w:rsidRDefault="00A71FD1" w:rsidP="006E47F9">
            <w:pPr>
              <w:contextualSpacing/>
              <w:jc w:val="center"/>
              <w:rPr>
                <w:rFonts w:eastAsia="Times New Roman" w:cs="Calibri"/>
                <w:szCs w:val="19"/>
                <w:lang w:eastAsia="pl-PL"/>
              </w:rPr>
            </w:pPr>
            <w:r w:rsidRPr="00AB28A8">
              <w:rPr>
                <w:rFonts w:eastAsia="Times New Roman" w:cs="Calibri"/>
                <w:szCs w:val="19"/>
                <w:lang w:eastAsia="pl-PL"/>
              </w:rPr>
              <w:t>Wyszczególnienie</w:t>
            </w:r>
          </w:p>
        </w:tc>
        <w:tc>
          <w:tcPr>
            <w:tcW w:w="1417" w:type="dxa"/>
            <w:tcBorders>
              <w:top w:val="single" w:sz="4" w:space="0" w:color="001D77"/>
              <w:left w:val="single" w:sz="4" w:space="0" w:color="001D77"/>
              <w:bottom w:val="single" w:sz="4" w:space="0" w:color="001D77"/>
              <w:right w:val="single" w:sz="4" w:space="0" w:color="001D77"/>
            </w:tcBorders>
            <w:vAlign w:val="center"/>
            <w:hideMark/>
          </w:tcPr>
          <w:p w:rsidR="00A71FD1" w:rsidRPr="00AB28A8" w:rsidRDefault="00A71FD1" w:rsidP="006E47F9">
            <w:pPr>
              <w:jc w:val="center"/>
              <w:rPr>
                <w:rFonts w:eastAsia="Times New Roman" w:cs="Calibri"/>
                <w:szCs w:val="19"/>
                <w:lang w:eastAsia="pl-PL"/>
              </w:rPr>
            </w:pPr>
            <w:r w:rsidRPr="00AB28A8">
              <w:rPr>
                <w:rFonts w:eastAsia="Times New Roman" w:cs="Calibri"/>
                <w:szCs w:val="19"/>
                <w:lang w:eastAsia="pl-PL"/>
              </w:rPr>
              <w:t>2011</w:t>
            </w:r>
          </w:p>
        </w:tc>
        <w:tc>
          <w:tcPr>
            <w:tcW w:w="2835" w:type="dxa"/>
            <w:gridSpan w:val="2"/>
            <w:tcBorders>
              <w:top w:val="single" w:sz="4" w:space="0" w:color="001D77"/>
              <w:left w:val="single" w:sz="4" w:space="0" w:color="001D77"/>
              <w:bottom w:val="single" w:sz="4" w:space="0" w:color="001D77"/>
            </w:tcBorders>
            <w:vAlign w:val="center"/>
            <w:hideMark/>
          </w:tcPr>
          <w:p w:rsidR="00A71FD1" w:rsidRPr="00AB28A8" w:rsidRDefault="00A71FD1" w:rsidP="006E47F9">
            <w:pPr>
              <w:jc w:val="center"/>
              <w:rPr>
                <w:rFonts w:eastAsia="Fira Sans Light" w:cs="Times New Roman"/>
                <w:szCs w:val="19"/>
                <w:lang w:eastAsia="pl-PL"/>
              </w:rPr>
            </w:pPr>
            <w:r w:rsidRPr="00AB28A8">
              <w:rPr>
                <w:rFonts w:eastAsia="Fira Sans Light" w:cs="Times New Roman"/>
                <w:szCs w:val="19"/>
                <w:lang w:eastAsia="pl-PL"/>
              </w:rPr>
              <w:t>2021</w:t>
            </w:r>
          </w:p>
        </w:tc>
      </w:tr>
      <w:tr w:rsidR="00A71FD1" w:rsidRPr="00AB28A8" w:rsidTr="000A5604">
        <w:trPr>
          <w:trHeight w:val="456"/>
        </w:trPr>
        <w:tc>
          <w:tcPr>
            <w:tcW w:w="0" w:type="auto"/>
            <w:vMerge/>
            <w:tcBorders>
              <w:bottom w:val="single" w:sz="4" w:space="0" w:color="001D77"/>
              <w:right w:val="single" w:sz="4" w:space="0" w:color="001D77"/>
            </w:tcBorders>
            <w:vAlign w:val="center"/>
            <w:hideMark/>
          </w:tcPr>
          <w:p w:rsidR="00A71FD1" w:rsidRPr="00AB28A8" w:rsidRDefault="00A71FD1" w:rsidP="006E47F9">
            <w:pPr>
              <w:spacing w:before="0" w:after="0" w:line="256" w:lineRule="auto"/>
              <w:rPr>
                <w:rFonts w:eastAsia="Times New Roman" w:cs="Calibri"/>
                <w:szCs w:val="19"/>
                <w:lang w:eastAsia="pl-PL"/>
              </w:rPr>
            </w:pPr>
          </w:p>
        </w:tc>
        <w:tc>
          <w:tcPr>
            <w:tcW w:w="2834" w:type="dxa"/>
            <w:gridSpan w:val="2"/>
            <w:tcBorders>
              <w:top w:val="single" w:sz="4" w:space="0" w:color="001D77"/>
              <w:left w:val="single" w:sz="4" w:space="0" w:color="001D77"/>
              <w:bottom w:val="single" w:sz="4" w:space="0" w:color="001D77"/>
              <w:right w:val="single" w:sz="4" w:space="0" w:color="001D77"/>
            </w:tcBorders>
            <w:vAlign w:val="center"/>
            <w:hideMark/>
          </w:tcPr>
          <w:p w:rsidR="00A71FD1" w:rsidRPr="00AB28A8" w:rsidRDefault="00A71FD1" w:rsidP="006E47F9">
            <w:pPr>
              <w:jc w:val="center"/>
              <w:rPr>
                <w:rFonts w:eastAsia="Fira Sans Light" w:cs="Times New Roman"/>
                <w:szCs w:val="19"/>
                <w:lang w:eastAsia="pl-PL"/>
              </w:rPr>
            </w:pPr>
            <w:r w:rsidRPr="00AB28A8">
              <w:rPr>
                <w:rFonts w:eastAsia="Fira Sans Light" w:cs="Times New Roman"/>
                <w:szCs w:val="19"/>
                <w:lang w:eastAsia="pl-PL"/>
              </w:rPr>
              <w:t xml:space="preserve">w </w:t>
            </w:r>
            <w:r>
              <w:rPr>
                <w:rFonts w:eastAsia="Fira Sans Light" w:cs="Times New Roman"/>
                <w:szCs w:val="19"/>
                <w:lang w:eastAsia="pl-PL"/>
              </w:rPr>
              <w:t>tys.</w:t>
            </w:r>
          </w:p>
        </w:tc>
        <w:tc>
          <w:tcPr>
            <w:tcW w:w="1418" w:type="dxa"/>
            <w:tcBorders>
              <w:left w:val="single" w:sz="4" w:space="0" w:color="001D77"/>
              <w:bottom w:val="single" w:sz="4" w:space="0" w:color="001D77"/>
            </w:tcBorders>
            <w:vAlign w:val="center"/>
            <w:hideMark/>
          </w:tcPr>
          <w:p w:rsidR="00A71FD1" w:rsidRPr="00AB28A8" w:rsidRDefault="00A71FD1" w:rsidP="006E47F9">
            <w:pPr>
              <w:jc w:val="center"/>
              <w:rPr>
                <w:rFonts w:eastAsia="Fira Sans Light" w:cs="Times New Roman"/>
                <w:szCs w:val="19"/>
                <w:lang w:eastAsia="pl-PL"/>
              </w:rPr>
            </w:pPr>
            <w:r w:rsidRPr="00AB28A8">
              <w:rPr>
                <w:rFonts w:eastAsia="Fira Sans Light" w:cs="Times New Roman"/>
                <w:szCs w:val="19"/>
                <w:lang w:eastAsia="pl-PL"/>
              </w:rPr>
              <w:t>2011=100</w:t>
            </w:r>
          </w:p>
        </w:tc>
      </w:tr>
      <w:tr w:rsidR="00A71FD1" w:rsidRPr="00AB28A8" w:rsidTr="000A5604">
        <w:trPr>
          <w:trHeight w:val="300"/>
        </w:trPr>
        <w:tc>
          <w:tcPr>
            <w:tcW w:w="3686" w:type="dxa"/>
            <w:tcBorders>
              <w:bottom w:val="single" w:sz="4" w:space="0" w:color="001D77"/>
              <w:right w:val="single" w:sz="4" w:space="0" w:color="001D77"/>
            </w:tcBorders>
            <w:noWrap/>
            <w:vAlign w:val="bottom"/>
          </w:tcPr>
          <w:p w:rsidR="00A71FD1" w:rsidRPr="00AB28A8" w:rsidRDefault="00A71FD1" w:rsidP="006E47F9">
            <w:pPr>
              <w:rPr>
                <w:rFonts w:eastAsia="Times New Roman" w:cs="Calibri"/>
                <w:szCs w:val="19"/>
                <w:lang w:eastAsia="pl-PL"/>
              </w:rPr>
            </w:pPr>
            <w:r>
              <w:rPr>
                <w:rFonts w:eastAsia="Times New Roman" w:cs="Calibri"/>
                <w:szCs w:val="19"/>
                <w:lang w:eastAsia="pl-PL"/>
              </w:rPr>
              <w:t>Mieszkania</w:t>
            </w:r>
          </w:p>
        </w:tc>
        <w:tc>
          <w:tcPr>
            <w:tcW w:w="1417" w:type="dxa"/>
            <w:tcBorders>
              <w:left w:val="single" w:sz="4" w:space="0" w:color="001D77"/>
              <w:bottom w:val="single" w:sz="4" w:space="0" w:color="001D77"/>
              <w:right w:val="single" w:sz="4" w:space="0" w:color="001D77"/>
            </w:tcBorders>
            <w:vAlign w:val="center"/>
          </w:tcPr>
          <w:p w:rsidR="00A71FD1" w:rsidRPr="00AB28A8" w:rsidRDefault="00A71FD1" w:rsidP="006E47F9">
            <w:pPr>
              <w:jc w:val="right"/>
              <w:rPr>
                <w:rFonts w:eastAsia="Times New Roman" w:cs="Calibri"/>
                <w:szCs w:val="19"/>
                <w:lang w:eastAsia="pl-PL"/>
              </w:rPr>
            </w:pPr>
            <w:r>
              <w:rPr>
                <w:rFonts w:cs="Calibri"/>
                <w:color w:val="000000"/>
                <w:szCs w:val="19"/>
              </w:rPr>
              <w:t>1114,5</w:t>
            </w:r>
          </w:p>
        </w:tc>
        <w:tc>
          <w:tcPr>
            <w:tcW w:w="1417" w:type="dxa"/>
            <w:tcBorders>
              <w:left w:val="single" w:sz="4" w:space="0" w:color="001D77"/>
              <w:bottom w:val="single" w:sz="4" w:space="0" w:color="001D77"/>
              <w:right w:val="single" w:sz="4" w:space="0" w:color="001D77"/>
            </w:tcBorders>
            <w:vAlign w:val="center"/>
          </w:tcPr>
          <w:p w:rsidR="00A71FD1" w:rsidRPr="00134A98" w:rsidRDefault="00A71FD1" w:rsidP="006E47F9">
            <w:pPr>
              <w:jc w:val="right"/>
              <w:rPr>
                <w:rFonts w:eastAsia="Times New Roman" w:cs="Calibri"/>
                <w:szCs w:val="19"/>
                <w:lang w:eastAsia="pl-PL"/>
              </w:rPr>
            </w:pPr>
            <w:r>
              <w:rPr>
                <w:rFonts w:cs="Calibri"/>
                <w:color w:val="000000"/>
                <w:szCs w:val="19"/>
              </w:rPr>
              <w:t>1311,6</w:t>
            </w:r>
          </w:p>
        </w:tc>
        <w:tc>
          <w:tcPr>
            <w:tcW w:w="1418" w:type="dxa"/>
            <w:tcBorders>
              <w:top w:val="single" w:sz="4" w:space="0" w:color="001D77"/>
              <w:left w:val="single" w:sz="4" w:space="0" w:color="001D77"/>
              <w:bottom w:val="single" w:sz="4" w:space="0" w:color="001D77"/>
            </w:tcBorders>
            <w:noWrap/>
            <w:vAlign w:val="center"/>
          </w:tcPr>
          <w:p w:rsidR="00A71FD1" w:rsidRPr="00134A98" w:rsidRDefault="00A71FD1" w:rsidP="006E47F9">
            <w:pPr>
              <w:jc w:val="right"/>
              <w:rPr>
                <w:rFonts w:eastAsia="Times New Roman" w:cs="Calibri"/>
                <w:szCs w:val="19"/>
                <w:lang w:eastAsia="pl-PL"/>
              </w:rPr>
            </w:pPr>
            <w:r>
              <w:rPr>
                <w:rFonts w:cs="Calibri"/>
                <w:color w:val="000000"/>
                <w:szCs w:val="19"/>
              </w:rPr>
              <w:t>117,7</w:t>
            </w:r>
          </w:p>
        </w:tc>
      </w:tr>
      <w:tr w:rsidR="00A71FD1" w:rsidRPr="00AB28A8" w:rsidTr="000A5604">
        <w:trPr>
          <w:trHeight w:val="300"/>
        </w:trPr>
        <w:tc>
          <w:tcPr>
            <w:tcW w:w="3686" w:type="dxa"/>
            <w:tcBorders>
              <w:bottom w:val="single" w:sz="4" w:space="0" w:color="001D77"/>
              <w:right w:val="single" w:sz="4" w:space="0" w:color="001D77"/>
            </w:tcBorders>
            <w:noWrap/>
            <w:vAlign w:val="bottom"/>
          </w:tcPr>
          <w:p w:rsidR="00A71FD1" w:rsidRDefault="00A71FD1" w:rsidP="006E47F9">
            <w:pPr>
              <w:ind w:left="176"/>
              <w:rPr>
                <w:rFonts w:eastAsia="Times New Roman" w:cs="Calibri"/>
                <w:szCs w:val="19"/>
                <w:lang w:eastAsia="pl-PL"/>
              </w:rPr>
            </w:pPr>
            <w:r>
              <w:rPr>
                <w:rFonts w:eastAsia="Times New Roman" w:cs="Calibri"/>
                <w:szCs w:val="19"/>
                <w:lang w:eastAsia="pl-PL"/>
              </w:rPr>
              <w:t>miasto</w:t>
            </w:r>
          </w:p>
        </w:tc>
        <w:tc>
          <w:tcPr>
            <w:tcW w:w="1417" w:type="dxa"/>
            <w:tcBorders>
              <w:left w:val="single" w:sz="4" w:space="0" w:color="001D77"/>
              <w:bottom w:val="single" w:sz="4" w:space="0" w:color="001D77"/>
              <w:right w:val="single" w:sz="4" w:space="0" w:color="001D77"/>
            </w:tcBorders>
            <w:vAlign w:val="center"/>
          </w:tcPr>
          <w:p w:rsidR="00A71FD1" w:rsidRDefault="00A71FD1" w:rsidP="006E47F9">
            <w:pPr>
              <w:jc w:val="right"/>
              <w:rPr>
                <w:rFonts w:eastAsia="Times New Roman" w:cs="Calibri"/>
                <w:szCs w:val="19"/>
                <w:lang w:eastAsia="pl-PL"/>
              </w:rPr>
            </w:pPr>
            <w:r>
              <w:rPr>
                <w:rFonts w:cs="Calibri"/>
                <w:color w:val="000000"/>
                <w:szCs w:val="19"/>
              </w:rPr>
              <w:t>705,6</w:t>
            </w:r>
          </w:p>
        </w:tc>
        <w:tc>
          <w:tcPr>
            <w:tcW w:w="1417" w:type="dxa"/>
            <w:tcBorders>
              <w:left w:val="single" w:sz="4" w:space="0" w:color="001D77"/>
              <w:bottom w:val="single" w:sz="4" w:space="0" w:color="001D77"/>
              <w:right w:val="single" w:sz="4" w:space="0" w:color="001D77"/>
            </w:tcBorders>
            <w:vAlign w:val="center"/>
          </w:tcPr>
          <w:p w:rsidR="00A71FD1" w:rsidRPr="00134A98" w:rsidRDefault="00A71FD1" w:rsidP="006E47F9">
            <w:pPr>
              <w:jc w:val="right"/>
              <w:rPr>
                <w:rFonts w:eastAsia="Times New Roman" w:cs="Calibri"/>
                <w:szCs w:val="19"/>
                <w:lang w:eastAsia="pl-PL"/>
              </w:rPr>
            </w:pPr>
            <w:r>
              <w:rPr>
                <w:rFonts w:cs="Calibri"/>
                <w:color w:val="000000"/>
                <w:szCs w:val="19"/>
              </w:rPr>
              <w:t>818,0</w:t>
            </w:r>
          </w:p>
        </w:tc>
        <w:tc>
          <w:tcPr>
            <w:tcW w:w="1418" w:type="dxa"/>
            <w:tcBorders>
              <w:top w:val="single" w:sz="4" w:space="0" w:color="001D77"/>
              <w:left w:val="single" w:sz="4" w:space="0" w:color="001D77"/>
              <w:bottom w:val="single" w:sz="4" w:space="0" w:color="001D77"/>
            </w:tcBorders>
            <w:noWrap/>
            <w:vAlign w:val="center"/>
          </w:tcPr>
          <w:p w:rsidR="00A71FD1" w:rsidRDefault="00A71FD1" w:rsidP="006E47F9">
            <w:pPr>
              <w:jc w:val="right"/>
              <w:rPr>
                <w:rFonts w:eastAsia="Times New Roman" w:cs="Calibri"/>
                <w:szCs w:val="19"/>
                <w:lang w:eastAsia="pl-PL"/>
              </w:rPr>
            </w:pPr>
            <w:r>
              <w:rPr>
                <w:rFonts w:cs="Calibri"/>
                <w:color w:val="000000"/>
                <w:szCs w:val="19"/>
              </w:rPr>
              <w:t>115,9</w:t>
            </w:r>
          </w:p>
        </w:tc>
      </w:tr>
      <w:tr w:rsidR="00A71FD1" w:rsidRPr="00AB28A8" w:rsidTr="000A5604">
        <w:trPr>
          <w:trHeight w:val="300"/>
        </w:trPr>
        <w:tc>
          <w:tcPr>
            <w:tcW w:w="3686" w:type="dxa"/>
            <w:tcBorders>
              <w:bottom w:val="single" w:sz="4" w:space="0" w:color="001D77"/>
              <w:right w:val="single" w:sz="4" w:space="0" w:color="001D77"/>
            </w:tcBorders>
            <w:noWrap/>
            <w:vAlign w:val="bottom"/>
          </w:tcPr>
          <w:p w:rsidR="00A71FD1" w:rsidRDefault="00A71FD1" w:rsidP="006E47F9">
            <w:pPr>
              <w:ind w:left="176"/>
              <w:rPr>
                <w:rFonts w:eastAsia="Times New Roman" w:cs="Calibri"/>
                <w:szCs w:val="19"/>
                <w:lang w:eastAsia="pl-PL"/>
              </w:rPr>
            </w:pPr>
            <w:r>
              <w:rPr>
                <w:rFonts w:eastAsia="Times New Roman" w:cs="Calibri"/>
                <w:szCs w:val="19"/>
                <w:lang w:eastAsia="pl-PL"/>
              </w:rPr>
              <w:t>wieś</w:t>
            </w:r>
          </w:p>
        </w:tc>
        <w:tc>
          <w:tcPr>
            <w:tcW w:w="1417" w:type="dxa"/>
            <w:tcBorders>
              <w:left w:val="single" w:sz="4" w:space="0" w:color="001D77"/>
              <w:bottom w:val="single" w:sz="4" w:space="0" w:color="001D77"/>
              <w:right w:val="single" w:sz="4" w:space="0" w:color="001D77"/>
            </w:tcBorders>
            <w:vAlign w:val="center"/>
          </w:tcPr>
          <w:p w:rsidR="00A71FD1" w:rsidRDefault="00A71FD1" w:rsidP="006E47F9">
            <w:pPr>
              <w:jc w:val="right"/>
              <w:rPr>
                <w:rFonts w:eastAsia="Times New Roman" w:cs="Calibri"/>
                <w:szCs w:val="19"/>
                <w:lang w:eastAsia="pl-PL"/>
              </w:rPr>
            </w:pPr>
            <w:r>
              <w:rPr>
                <w:rFonts w:cs="Calibri"/>
                <w:color w:val="000000"/>
                <w:szCs w:val="19"/>
              </w:rPr>
              <w:t>408,9</w:t>
            </w:r>
          </w:p>
        </w:tc>
        <w:tc>
          <w:tcPr>
            <w:tcW w:w="1417" w:type="dxa"/>
            <w:tcBorders>
              <w:left w:val="single" w:sz="4" w:space="0" w:color="001D77"/>
              <w:bottom w:val="single" w:sz="4" w:space="0" w:color="001D77"/>
              <w:right w:val="single" w:sz="4" w:space="0" w:color="001D77"/>
            </w:tcBorders>
            <w:vAlign w:val="center"/>
          </w:tcPr>
          <w:p w:rsidR="00A71FD1" w:rsidRPr="00134A98" w:rsidRDefault="00A71FD1" w:rsidP="006E47F9">
            <w:pPr>
              <w:jc w:val="right"/>
              <w:rPr>
                <w:rFonts w:eastAsia="Times New Roman" w:cs="Calibri"/>
                <w:szCs w:val="19"/>
                <w:lang w:eastAsia="pl-PL"/>
              </w:rPr>
            </w:pPr>
            <w:r>
              <w:rPr>
                <w:rFonts w:cs="Calibri"/>
                <w:color w:val="000000"/>
                <w:szCs w:val="19"/>
              </w:rPr>
              <w:t>493,6</w:t>
            </w:r>
          </w:p>
        </w:tc>
        <w:tc>
          <w:tcPr>
            <w:tcW w:w="1418" w:type="dxa"/>
            <w:tcBorders>
              <w:top w:val="single" w:sz="4" w:space="0" w:color="001D77"/>
              <w:left w:val="single" w:sz="4" w:space="0" w:color="001D77"/>
              <w:bottom w:val="single" w:sz="4" w:space="0" w:color="001D77"/>
            </w:tcBorders>
            <w:noWrap/>
            <w:vAlign w:val="center"/>
          </w:tcPr>
          <w:p w:rsidR="00A71FD1" w:rsidRDefault="00A71FD1" w:rsidP="006E47F9">
            <w:pPr>
              <w:jc w:val="right"/>
              <w:rPr>
                <w:rFonts w:eastAsia="Times New Roman" w:cs="Calibri"/>
                <w:szCs w:val="19"/>
                <w:lang w:eastAsia="pl-PL"/>
              </w:rPr>
            </w:pPr>
            <w:r>
              <w:rPr>
                <w:rFonts w:cs="Calibri"/>
                <w:color w:val="000000"/>
                <w:szCs w:val="19"/>
              </w:rPr>
              <w:t>120,7</w:t>
            </w:r>
          </w:p>
        </w:tc>
      </w:tr>
      <w:tr w:rsidR="00A71FD1" w:rsidRPr="00AB28A8" w:rsidTr="000A5604">
        <w:trPr>
          <w:trHeight w:val="300"/>
        </w:trPr>
        <w:tc>
          <w:tcPr>
            <w:tcW w:w="3686" w:type="dxa"/>
            <w:tcBorders>
              <w:top w:val="single" w:sz="4" w:space="0" w:color="001D77"/>
              <w:bottom w:val="single" w:sz="4" w:space="0" w:color="001D77"/>
              <w:right w:val="single" w:sz="4" w:space="0" w:color="001D77"/>
            </w:tcBorders>
            <w:noWrap/>
            <w:vAlign w:val="bottom"/>
            <w:hideMark/>
          </w:tcPr>
          <w:p w:rsidR="00A71FD1" w:rsidRPr="00AB28A8" w:rsidRDefault="00A71FD1" w:rsidP="006E47F9">
            <w:pPr>
              <w:rPr>
                <w:rFonts w:eastAsia="Times New Roman" w:cs="Calibri"/>
                <w:szCs w:val="19"/>
                <w:lang w:eastAsia="pl-PL"/>
              </w:rPr>
            </w:pPr>
            <w:r>
              <w:rPr>
                <w:rFonts w:eastAsia="Times New Roman" w:cs="Calibri"/>
                <w:szCs w:val="19"/>
                <w:lang w:eastAsia="pl-PL"/>
              </w:rPr>
              <w:t>Budynki</w:t>
            </w:r>
          </w:p>
        </w:tc>
        <w:tc>
          <w:tcPr>
            <w:tcW w:w="1417" w:type="dxa"/>
            <w:tcBorders>
              <w:top w:val="single" w:sz="4" w:space="0" w:color="001D77"/>
              <w:left w:val="single" w:sz="4" w:space="0" w:color="001D77"/>
              <w:bottom w:val="single" w:sz="4" w:space="0" w:color="001D77"/>
              <w:right w:val="single" w:sz="4" w:space="0" w:color="001D77"/>
            </w:tcBorders>
            <w:vAlign w:val="center"/>
          </w:tcPr>
          <w:p w:rsidR="00A71FD1" w:rsidRPr="00AB28A8" w:rsidRDefault="00A71FD1" w:rsidP="006E47F9">
            <w:pPr>
              <w:jc w:val="right"/>
              <w:rPr>
                <w:rFonts w:eastAsia="Times New Roman" w:cs="Calibri"/>
                <w:szCs w:val="19"/>
                <w:lang w:eastAsia="pl-PL"/>
              </w:rPr>
            </w:pPr>
            <w:r>
              <w:rPr>
                <w:rFonts w:cs="Calibri"/>
                <w:color w:val="000000"/>
                <w:szCs w:val="19"/>
              </w:rPr>
              <w:t>550,1</w:t>
            </w:r>
          </w:p>
        </w:tc>
        <w:tc>
          <w:tcPr>
            <w:tcW w:w="1417" w:type="dxa"/>
            <w:tcBorders>
              <w:top w:val="single" w:sz="4" w:space="0" w:color="001D77"/>
              <w:left w:val="single" w:sz="4" w:space="0" w:color="001D77"/>
              <w:bottom w:val="single" w:sz="4" w:space="0" w:color="001D77"/>
              <w:right w:val="single" w:sz="4" w:space="0" w:color="001D77"/>
            </w:tcBorders>
            <w:vAlign w:val="center"/>
          </w:tcPr>
          <w:p w:rsidR="00A71FD1" w:rsidRPr="00C52A00" w:rsidRDefault="00A71FD1" w:rsidP="006E47F9">
            <w:pPr>
              <w:jc w:val="right"/>
              <w:rPr>
                <w:rFonts w:eastAsia="Times New Roman" w:cs="Calibri"/>
                <w:szCs w:val="19"/>
                <w:lang w:eastAsia="pl-PL"/>
              </w:rPr>
            </w:pPr>
            <w:r>
              <w:rPr>
                <w:rFonts w:cs="Calibri"/>
                <w:color w:val="000000"/>
                <w:szCs w:val="19"/>
              </w:rPr>
              <w:t>647,9</w:t>
            </w:r>
          </w:p>
        </w:tc>
        <w:tc>
          <w:tcPr>
            <w:tcW w:w="1418" w:type="dxa"/>
            <w:tcBorders>
              <w:top w:val="single" w:sz="4" w:space="0" w:color="001D77"/>
              <w:left w:val="single" w:sz="4" w:space="0" w:color="001D77"/>
              <w:bottom w:val="single" w:sz="4" w:space="0" w:color="001D77"/>
            </w:tcBorders>
            <w:noWrap/>
            <w:vAlign w:val="center"/>
          </w:tcPr>
          <w:p w:rsidR="00A71FD1" w:rsidRPr="00134A98" w:rsidRDefault="00A71FD1" w:rsidP="006E47F9">
            <w:pPr>
              <w:jc w:val="right"/>
              <w:rPr>
                <w:rFonts w:eastAsia="Times New Roman" w:cs="Calibri"/>
                <w:szCs w:val="19"/>
                <w:lang w:eastAsia="pl-PL"/>
              </w:rPr>
            </w:pPr>
            <w:r>
              <w:rPr>
                <w:rFonts w:cs="Calibri"/>
                <w:color w:val="000000"/>
                <w:szCs w:val="19"/>
              </w:rPr>
              <w:t>117,8</w:t>
            </w:r>
          </w:p>
        </w:tc>
      </w:tr>
      <w:tr w:rsidR="00A71FD1" w:rsidRPr="00AB28A8" w:rsidTr="000A5604">
        <w:trPr>
          <w:trHeight w:val="300"/>
        </w:trPr>
        <w:tc>
          <w:tcPr>
            <w:tcW w:w="3686" w:type="dxa"/>
            <w:tcBorders>
              <w:top w:val="single" w:sz="4" w:space="0" w:color="001D77"/>
              <w:right w:val="single" w:sz="4" w:space="0" w:color="001D77"/>
            </w:tcBorders>
            <w:noWrap/>
            <w:vAlign w:val="bottom"/>
          </w:tcPr>
          <w:p w:rsidR="00A71FD1" w:rsidRDefault="00A71FD1" w:rsidP="006E47F9">
            <w:pPr>
              <w:ind w:left="176"/>
              <w:rPr>
                <w:rFonts w:eastAsia="Times New Roman" w:cs="Calibri"/>
                <w:szCs w:val="19"/>
                <w:lang w:eastAsia="pl-PL"/>
              </w:rPr>
            </w:pPr>
            <w:r>
              <w:rPr>
                <w:rFonts w:eastAsia="Times New Roman" w:cs="Calibri"/>
                <w:szCs w:val="19"/>
                <w:lang w:eastAsia="pl-PL"/>
              </w:rPr>
              <w:t>miasto</w:t>
            </w:r>
          </w:p>
        </w:tc>
        <w:tc>
          <w:tcPr>
            <w:tcW w:w="1417" w:type="dxa"/>
            <w:tcBorders>
              <w:top w:val="single" w:sz="4" w:space="0" w:color="001D77"/>
              <w:left w:val="single" w:sz="4" w:space="0" w:color="001D77"/>
              <w:right w:val="single" w:sz="4" w:space="0" w:color="001D77"/>
            </w:tcBorders>
            <w:vAlign w:val="center"/>
          </w:tcPr>
          <w:p w:rsidR="00A71FD1" w:rsidRDefault="00A71FD1" w:rsidP="006E47F9">
            <w:pPr>
              <w:jc w:val="right"/>
              <w:rPr>
                <w:rFonts w:eastAsia="Times New Roman" w:cs="Calibri"/>
                <w:szCs w:val="19"/>
                <w:lang w:eastAsia="pl-PL"/>
              </w:rPr>
            </w:pPr>
            <w:r>
              <w:rPr>
                <w:rFonts w:cs="Calibri"/>
                <w:color w:val="000000"/>
                <w:szCs w:val="19"/>
              </w:rPr>
              <w:t>224,2</w:t>
            </w:r>
          </w:p>
        </w:tc>
        <w:tc>
          <w:tcPr>
            <w:tcW w:w="1417" w:type="dxa"/>
            <w:tcBorders>
              <w:top w:val="single" w:sz="4" w:space="0" w:color="001D77"/>
              <w:left w:val="single" w:sz="4" w:space="0" w:color="001D77"/>
              <w:right w:val="single" w:sz="4" w:space="0" w:color="001D77"/>
            </w:tcBorders>
            <w:vAlign w:val="center"/>
          </w:tcPr>
          <w:p w:rsidR="00A71FD1" w:rsidRPr="00134A98" w:rsidRDefault="00A71FD1" w:rsidP="006E47F9">
            <w:pPr>
              <w:jc w:val="right"/>
              <w:rPr>
                <w:rFonts w:eastAsia="Times New Roman" w:cs="Calibri"/>
                <w:szCs w:val="19"/>
                <w:lang w:eastAsia="pl-PL"/>
              </w:rPr>
            </w:pPr>
            <w:r>
              <w:rPr>
                <w:rFonts w:cs="Calibri"/>
                <w:color w:val="000000"/>
                <w:szCs w:val="19"/>
              </w:rPr>
              <w:t>255,0</w:t>
            </w:r>
          </w:p>
        </w:tc>
        <w:tc>
          <w:tcPr>
            <w:tcW w:w="1418" w:type="dxa"/>
            <w:tcBorders>
              <w:top w:val="single" w:sz="4" w:space="0" w:color="001D77"/>
              <w:left w:val="single" w:sz="4" w:space="0" w:color="001D77"/>
            </w:tcBorders>
            <w:noWrap/>
            <w:vAlign w:val="center"/>
          </w:tcPr>
          <w:p w:rsidR="00A71FD1" w:rsidRDefault="00A71FD1" w:rsidP="006E47F9">
            <w:pPr>
              <w:jc w:val="right"/>
              <w:rPr>
                <w:rFonts w:eastAsia="Times New Roman" w:cs="Calibri"/>
                <w:szCs w:val="19"/>
                <w:lang w:eastAsia="pl-PL"/>
              </w:rPr>
            </w:pPr>
            <w:r>
              <w:rPr>
                <w:rFonts w:cs="Calibri"/>
                <w:color w:val="000000"/>
                <w:szCs w:val="19"/>
              </w:rPr>
              <w:t>113,8</w:t>
            </w:r>
          </w:p>
        </w:tc>
      </w:tr>
      <w:tr w:rsidR="00A71FD1" w:rsidRPr="00AB28A8" w:rsidTr="000A5604">
        <w:trPr>
          <w:trHeight w:val="300"/>
        </w:trPr>
        <w:tc>
          <w:tcPr>
            <w:tcW w:w="3686" w:type="dxa"/>
            <w:tcBorders>
              <w:top w:val="single" w:sz="4" w:space="0" w:color="001D77"/>
              <w:right w:val="single" w:sz="4" w:space="0" w:color="001D77"/>
            </w:tcBorders>
            <w:noWrap/>
            <w:vAlign w:val="bottom"/>
          </w:tcPr>
          <w:p w:rsidR="00A71FD1" w:rsidRDefault="00A71FD1" w:rsidP="006E47F9">
            <w:pPr>
              <w:ind w:left="176"/>
              <w:rPr>
                <w:rFonts w:eastAsia="Times New Roman" w:cs="Calibri"/>
                <w:szCs w:val="19"/>
                <w:lang w:eastAsia="pl-PL"/>
              </w:rPr>
            </w:pPr>
            <w:r>
              <w:rPr>
                <w:rFonts w:eastAsia="Times New Roman" w:cs="Calibri"/>
                <w:szCs w:val="19"/>
                <w:lang w:eastAsia="pl-PL"/>
              </w:rPr>
              <w:t>wieś</w:t>
            </w:r>
          </w:p>
        </w:tc>
        <w:tc>
          <w:tcPr>
            <w:tcW w:w="1417" w:type="dxa"/>
            <w:tcBorders>
              <w:top w:val="single" w:sz="4" w:space="0" w:color="001D77"/>
              <w:left w:val="single" w:sz="4" w:space="0" w:color="001D77"/>
              <w:right w:val="single" w:sz="4" w:space="0" w:color="001D77"/>
            </w:tcBorders>
            <w:vAlign w:val="center"/>
          </w:tcPr>
          <w:p w:rsidR="00A71FD1" w:rsidRDefault="00A71FD1" w:rsidP="006E47F9">
            <w:pPr>
              <w:jc w:val="right"/>
              <w:rPr>
                <w:rFonts w:eastAsia="Times New Roman" w:cs="Calibri"/>
                <w:szCs w:val="19"/>
                <w:lang w:eastAsia="pl-PL"/>
              </w:rPr>
            </w:pPr>
            <w:r>
              <w:rPr>
                <w:rFonts w:cs="Calibri"/>
                <w:color w:val="000000"/>
                <w:szCs w:val="19"/>
              </w:rPr>
              <w:t>325,9</w:t>
            </w:r>
          </w:p>
        </w:tc>
        <w:tc>
          <w:tcPr>
            <w:tcW w:w="1417" w:type="dxa"/>
            <w:tcBorders>
              <w:top w:val="single" w:sz="4" w:space="0" w:color="001D77"/>
              <w:left w:val="single" w:sz="4" w:space="0" w:color="001D77"/>
              <w:right w:val="single" w:sz="4" w:space="0" w:color="001D77"/>
            </w:tcBorders>
            <w:vAlign w:val="center"/>
          </w:tcPr>
          <w:p w:rsidR="00A71FD1" w:rsidRPr="00134A98" w:rsidRDefault="00A71FD1" w:rsidP="006E47F9">
            <w:pPr>
              <w:jc w:val="right"/>
              <w:rPr>
                <w:rFonts w:eastAsia="Times New Roman" w:cs="Calibri"/>
                <w:szCs w:val="19"/>
                <w:lang w:eastAsia="pl-PL"/>
              </w:rPr>
            </w:pPr>
            <w:r>
              <w:rPr>
                <w:rFonts w:cs="Calibri"/>
                <w:color w:val="000000"/>
                <w:szCs w:val="19"/>
              </w:rPr>
              <w:t>392,9</w:t>
            </w:r>
          </w:p>
        </w:tc>
        <w:tc>
          <w:tcPr>
            <w:tcW w:w="1418" w:type="dxa"/>
            <w:tcBorders>
              <w:top w:val="single" w:sz="4" w:space="0" w:color="001D77"/>
              <w:left w:val="single" w:sz="4" w:space="0" w:color="001D77"/>
            </w:tcBorders>
            <w:noWrap/>
            <w:vAlign w:val="center"/>
          </w:tcPr>
          <w:p w:rsidR="00A71FD1" w:rsidRDefault="00A71FD1" w:rsidP="006E47F9">
            <w:pPr>
              <w:jc w:val="right"/>
              <w:rPr>
                <w:rFonts w:eastAsia="Times New Roman" w:cs="Calibri"/>
                <w:szCs w:val="19"/>
                <w:lang w:eastAsia="pl-PL"/>
              </w:rPr>
            </w:pPr>
            <w:r>
              <w:rPr>
                <w:rFonts w:cs="Calibri"/>
                <w:color w:val="000000"/>
                <w:szCs w:val="19"/>
              </w:rPr>
              <w:t>120,5</w:t>
            </w:r>
          </w:p>
        </w:tc>
      </w:tr>
    </w:tbl>
    <w:p w:rsidR="00A71FD1" w:rsidRDefault="00A71FD1" w:rsidP="000679CD">
      <w:pPr>
        <w:spacing w:before="360"/>
        <w:rPr>
          <w:shd w:val="clear" w:color="auto" w:fill="FFFFFF"/>
        </w:rPr>
      </w:pPr>
      <w:r w:rsidRPr="00C86BD5">
        <w:rPr>
          <w:shd w:val="clear" w:color="auto" w:fill="FFFFFF"/>
        </w:rPr>
        <w:t>W okresie międzyspisowym w województwie wielkopolskim, inaczej niż w kraju</w:t>
      </w:r>
      <w:r>
        <w:rPr>
          <w:shd w:val="clear" w:color="auto" w:fill="FFFFFF"/>
        </w:rPr>
        <w:t xml:space="preserve">, </w:t>
      </w:r>
      <w:r w:rsidRPr="006A34B3">
        <w:rPr>
          <w:shd w:val="clear" w:color="auto" w:fill="FFFFFF"/>
        </w:rPr>
        <w:t xml:space="preserve">na terenach wiejskich </w:t>
      </w:r>
      <w:r>
        <w:rPr>
          <w:shd w:val="clear" w:color="auto" w:fill="FFFFFF"/>
        </w:rPr>
        <w:t>tempo</w:t>
      </w:r>
      <w:r w:rsidRPr="006A34B3">
        <w:rPr>
          <w:shd w:val="clear" w:color="auto" w:fill="FFFFFF"/>
        </w:rPr>
        <w:t xml:space="preserve"> przyrostu liczby mieszkań i budynków był</w:t>
      </w:r>
      <w:r>
        <w:rPr>
          <w:shd w:val="clear" w:color="auto" w:fill="FFFFFF"/>
        </w:rPr>
        <w:t>o</w:t>
      </w:r>
      <w:r w:rsidRPr="006A34B3">
        <w:rPr>
          <w:shd w:val="clear" w:color="auto" w:fill="FFFFFF"/>
        </w:rPr>
        <w:t xml:space="preserve"> </w:t>
      </w:r>
      <w:r>
        <w:rPr>
          <w:shd w:val="clear" w:color="auto" w:fill="FFFFFF"/>
        </w:rPr>
        <w:t>wy</w:t>
      </w:r>
      <w:r w:rsidRPr="006A34B3">
        <w:rPr>
          <w:shd w:val="clear" w:color="auto" w:fill="FFFFFF"/>
        </w:rPr>
        <w:t>ższ</w:t>
      </w:r>
      <w:r>
        <w:rPr>
          <w:shd w:val="clear" w:color="auto" w:fill="FFFFFF"/>
        </w:rPr>
        <w:t>e</w:t>
      </w:r>
      <w:r w:rsidRPr="006A34B3">
        <w:rPr>
          <w:shd w:val="clear" w:color="auto" w:fill="FFFFFF"/>
        </w:rPr>
        <w:t xml:space="preserve"> niż</w:t>
      </w:r>
      <w:r>
        <w:rPr>
          <w:shd w:val="clear" w:color="auto" w:fill="FFFFFF"/>
        </w:rPr>
        <w:t xml:space="preserve"> w</w:t>
      </w:r>
      <w:r w:rsidRPr="006A34B3">
        <w:rPr>
          <w:shd w:val="clear" w:color="auto" w:fill="FFFFFF"/>
        </w:rPr>
        <w:t xml:space="preserve"> miastach</w:t>
      </w:r>
      <w:r>
        <w:rPr>
          <w:shd w:val="clear" w:color="auto" w:fill="FFFFFF"/>
        </w:rPr>
        <w:t>. L</w:t>
      </w:r>
      <w:r w:rsidRPr="006A34B3">
        <w:rPr>
          <w:shd w:val="clear" w:color="auto" w:fill="FFFFFF"/>
        </w:rPr>
        <w:t>iczba mieszkań</w:t>
      </w:r>
      <w:r>
        <w:rPr>
          <w:shd w:val="clear" w:color="auto" w:fill="FFFFFF"/>
        </w:rPr>
        <w:t xml:space="preserve"> </w:t>
      </w:r>
      <w:r w:rsidRPr="006A34B3">
        <w:rPr>
          <w:shd w:val="clear" w:color="auto" w:fill="FFFFFF"/>
        </w:rPr>
        <w:t xml:space="preserve">na wsiach w </w:t>
      </w:r>
      <w:r>
        <w:rPr>
          <w:shd w:val="clear" w:color="auto" w:fill="FFFFFF"/>
        </w:rPr>
        <w:t>ciągu dekady</w:t>
      </w:r>
      <w:r w:rsidRPr="006A34B3">
        <w:rPr>
          <w:shd w:val="clear" w:color="auto" w:fill="FFFFFF"/>
        </w:rPr>
        <w:t xml:space="preserve"> </w:t>
      </w:r>
      <w:r w:rsidRPr="00347F6C">
        <w:rPr>
          <w:shd w:val="clear" w:color="auto" w:fill="FFFFFF"/>
        </w:rPr>
        <w:t>zwiększyła się</w:t>
      </w:r>
      <w:r w:rsidRPr="006A34B3">
        <w:rPr>
          <w:shd w:val="clear" w:color="auto" w:fill="FFFFFF"/>
        </w:rPr>
        <w:t xml:space="preserve"> o </w:t>
      </w:r>
      <w:r>
        <w:rPr>
          <w:shd w:val="clear" w:color="auto" w:fill="FFFFFF"/>
        </w:rPr>
        <w:t>20,7% (</w:t>
      </w:r>
      <w:r w:rsidRPr="006A34B3">
        <w:rPr>
          <w:shd w:val="clear" w:color="auto" w:fill="FFFFFF"/>
        </w:rPr>
        <w:t xml:space="preserve">o </w:t>
      </w:r>
      <w:r>
        <w:rPr>
          <w:shd w:val="clear" w:color="auto" w:fill="FFFFFF"/>
        </w:rPr>
        <w:t>84</w:t>
      </w:r>
      <w:r w:rsidR="003777D8">
        <w:rPr>
          <w:shd w:val="clear" w:color="auto" w:fill="FFFFFF"/>
        </w:rPr>
        <w:t>,7 tys.</w:t>
      </w:r>
      <w:r>
        <w:rPr>
          <w:shd w:val="clear" w:color="auto" w:fill="FFFFFF"/>
        </w:rPr>
        <w:t>) do</w:t>
      </w:r>
      <w:r w:rsidRPr="000C1BED">
        <w:t xml:space="preserve"> </w:t>
      </w:r>
      <w:r w:rsidRPr="000C1BED">
        <w:rPr>
          <w:shd w:val="clear" w:color="auto" w:fill="FFFFFF"/>
        </w:rPr>
        <w:t>493</w:t>
      </w:r>
      <w:r w:rsidR="003777D8">
        <w:rPr>
          <w:shd w:val="clear" w:color="auto" w:fill="FFFFFF"/>
        </w:rPr>
        <w:t>,6</w:t>
      </w:r>
      <w:r>
        <w:rPr>
          <w:shd w:val="clear" w:color="auto" w:fill="FFFFFF"/>
        </w:rPr>
        <w:t xml:space="preserve"> </w:t>
      </w:r>
      <w:r w:rsidR="003777D8">
        <w:rPr>
          <w:shd w:val="clear" w:color="auto" w:fill="FFFFFF"/>
        </w:rPr>
        <w:t xml:space="preserve">tys. </w:t>
      </w:r>
      <w:r>
        <w:rPr>
          <w:shd w:val="clear" w:color="auto" w:fill="FFFFFF"/>
        </w:rPr>
        <w:t>mieszkań</w:t>
      </w:r>
      <w:r w:rsidRPr="006A34B3">
        <w:rPr>
          <w:shd w:val="clear" w:color="auto" w:fill="FFFFFF"/>
        </w:rPr>
        <w:t xml:space="preserve">, podczas gdy </w:t>
      </w:r>
      <w:r>
        <w:rPr>
          <w:shd w:val="clear" w:color="auto" w:fill="FFFFFF"/>
        </w:rPr>
        <w:t xml:space="preserve">w ośrodkach miejskich </w:t>
      </w:r>
      <w:r w:rsidRPr="00347F6C">
        <w:rPr>
          <w:shd w:val="clear" w:color="auto" w:fill="FFFFFF"/>
        </w:rPr>
        <w:t xml:space="preserve">wzrosła </w:t>
      </w:r>
      <w:r w:rsidRPr="006A34B3">
        <w:rPr>
          <w:shd w:val="clear" w:color="auto" w:fill="FFFFFF"/>
        </w:rPr>
        <w:t xml:space="preserve">o </w:t>
      </w:r>
      <w:r>
        <w:rPr>
          <w:shd w:val="clear" w:color="auto" w:fill="FFFFFF"/>
        </w:rPr>
        <w:t>15,9% (</w:t>
      </w:r>
      <w:r w:rsidRPr="006A34B3">
        <w:rPr>
          <w:shd w:val="clear" w:color="auto" w:fill="FFFFFF"/>
        </w:rPr>
        <w:t xml:space="preserve">o </w:t>
      </w:r>
      <w:r>
        <w:rPr>
          <w:shd w:val="clear" w:color="auto" w:fill="FFFFFF"/>
        </w:rPr>
        <w:t>112</w:t>
      </w:r>
      <w:r w:rsidR="003777D8">
        <w:rPr>
          <w:shd w:val="clear" w:color="auto" w:fill="FFFFFF"/>
        </w:rPr>
        <w:t>,</w:t>
      </w:r>
      <w:r w:rsidRPr="00BA4C80">
        <w:rPr>
          <w:shd w:val="clear" w:color="auto" w:fill="FFFFFF"/>
        </w:rPr>
        <w:t>4</w:t>
      </w:r>
      <w:r w:rsidR="003777D8">
        <w:rPr>
          <w:shd w:val="clear" w:color="auto" w:fill="FFFFFF"/>
        </w:rPr>
        <w:t xml:space="preserve"> tys.</w:t>
      </w:r>
      <w:r>
        <w:rPr>
          <w:shd w:val="clear" w:color="auto" w:fill="FFFFFF"/>
        </w:rPr>
        <w:t>) do</w:t>
      </w:r>
      <w:r w:rsidRPr="006A34B3">
        <w:rPr>
          <w:shd w:val="clear" w:color="auto" w:fill="FFFFFF"/>
        </w:rPr>
        <w:t xml:space="preserve"> </w:t>
      </w:r>
      <w:r w:rsidRPr="000C1BED">
        <w:rPr>
          <w:shd w:val="clear" w:color="auto" w:fill="FFFFFF"/>
        </w:rPr>
        <w:t>81</w:t>
      </w:r>
      <w:r w:rsidR="003777D8">
        <w:rPr>
          <w:shd w:val="clear" w:color="auto" w:fill="FFFFFF"/>
        </w:rPr>
        <w:t>8,0</w:t>
      </w:r>
      <w:r>
        <w:rPr>
          <w:shd w:val="clear" w:color="auto" w:fill="FFFFFF"/>
        </w:rPr>
        <w:t xml:space="preserve"> </w:t>
      </w:r>
      <w:r w:rsidR="003777D8">
        <w:rPr>
          <w:shd w:val="clear" w:color="auto" w:fill="FFFFFF"/>
        </w:rPr>
        <w:t xml:space="preserve">tys. </w:t>
      </w:r>
      <w:r>
        <w:rPr>
          <w:shd w:val="clear" w:color="auto" w:fill="FFFFFF"/>
        </w:rPr>
        <w:t>mieszkań</w:t>
      </w:r>
      <w:r w:rsidRPr="006A34B3">
        <w:rPr>
          <w:shd w:val="clear" w:color="auto" w:fill="FFFFFF"/>
        </w:rPr>
        <w:t>. Na obszarach wiejskich</w:t>
      </w:r>
      <w:r w:rsidRPr="00C86BD5">
        <w:rPr>
          <w:shd w:val="clear" w:color="auto" w:fill="FFFFFF"/>
        </w:rPr>
        <w:t xml:space="preserve"> </w:t>
      </w:r>
      <w:r>
        <w:rPr>
          <w:shd w:val="clear" w:color="auto" w:fill="FFFFFF"/>
        </w:rPr>
        <w:t>l</w:t>
      </w:r>
      <w:r w:rsidRPr="006A34B3">
        <w:rPr>
          <w:shd w:val="clear" w:color="auto" w:fill="FFFFFF"/>
        </w:rPr>
        <w:t>iczba budynków</w:t>
      </w:r>
      <w:r>
        <w:rPr>
          <w:shd w:val="clear" w:color="auto" w:fill="FFFFFF"/>
        </w:rPr>
        <w:t xml:space="preserve"> zwiększyła</w:t>
      </w:r>
      <w:r w:rsidRPr="00347F6C">
        <w:rPr>
          <w:shd w:val="clear" w:color="auto" w:fill="FFFFFF"/>
        </w:rPr>
        <w:t xml:space="preserve"> się</w:t>
      </w:r>
      <w:r w:rsidRPr="006A34B3">
        <w:rPr>
          <w:shd w:val="clear" w:color="auto" w:fill="FFFFFF"/>
        </w:rPr>
        <w:t xml:space="preserve"> o </w:t>
      </w:r>
      <w:r>
        <w:rPr>
          <w:shd w:val="clear" w:color="auto" w:fill="FFFFFF"/>
        </w:rPr>
        <w:t>20,5% (o 6</w:t>
      </w:r>
      <w:r w:rsidR="003777D8">
        <w:rPr>
          <w:shd w:val="clear" w:color="auto" w:fill="FFFFFF"/>
        </w:rPr>
        <w:t>7,0 tys.</w:t>
      </w:r>
      <w:r w:rsidRPr="006A34B3">
        <w:rPr>
          <w:shd w:val="clear" w:color="auto" w:fill="FFFFFF"/>
        </w:rPr>
        <w:t xml:space="preserve">) i </w:t>
      </w:r>
      <w:r>
        <w:rPr>
          <w:shd w:val="clear" w:color="auto" w:fill="FFFFFF"/>
        </w:rPr>
        <w:t>obejmowa</w:t>
      </w:r>
      <w:r w:rsidRPr="006A34B3">
        <w:rPr>
          <w:shd w:val="clear" w:color="auto" w:fill="FFFFFF"/>
        </w:rPr>
        <w:t xml:space="preserve">ła </w:t>
      </w:r>
      <w:r w:rsidRPr="00640EE3">
        <w:rPr>
          <w:shd w:val="clear" w:color="auto" w:fill="FFFFFF"/>
        </w:rPr>
        <w:t>392</w:t>
      </w:r>
      <w:r w:rsidR="003777D8">
        <w:rPr>
          <w:shd w:val="clear" w:color="auto" w:fill="FFFFFF"/>
        </w:rPr>
        <w:t>,9</w:t>
      </w:r>
      <w:r w:rsidRPr="00640EE3">
        <w:rPr>
          <w:shd w:val="clear" w:color="auto" w:fill="FFFFFF"/>
        </w:rPr>
        <w:t xml:space="preserve"> </w:t>
      </w:r>
      <w:r w:rsidR="003777D8">
        <w:rPr>
          <w:shd w:val="clear" w:color="auto" w:fill="FFFFFF"/>
        </w:rPr>
        <w:t xml:space="preserve">tys. </w:t>
      </w:r>
      <w:r>
        <w:rPr>
          <w:shd w:val="clear" w:color="auto" w:fill="FFFFFF"/>
        </w:rPr>
        <w:t xml:space="preserve">obiektów, a </w:t>
      </w:r>
      <w:r w:rsidRPr="006A34B3">
        <w:rPr>
          <w:shd w:val="clear" w:color="auto" w:fill="FFFFFF"/>
        </w:rPr>
        <w:t>w miastach wzrosła</w:t>
      </w:r>
      <w:r w:rsidRPr="00347F6C">
        <w:rPr>
          <w:shd w:val="clear" w:color="auto" w:fill="FFFFFF"/>
        </w:rPr>
        <w:t xml:space="preserve"> </w:t>
      </w:r>
      <w:r w:rsidRPr="006A34B3">
        <w:rPr>
          <w:shd w:val="clear" w:color="auto" w:fill="FFFFFF"/>
        </w:rPr>
        <w:t>o 13,</w:t>
      </w:r>
      <w:r>
        <w:rPr>
          <w:shd w:val="clear" w:color="auto" w:fill="FFFFFF"/>
        </w:rPr>
        <w:t>8</w:t>
      </w:r>
      <w:r w:rsidRPr="006A34B3">
        <w:rPr>
          <w:shd w:val="clear" w:color="auto" w:fill="FFFFFF"/>
        </w:rPr>
        <w:t xml:space="preserve">% (o </w:t>
      </w:r>
      <w:r>
        <w:rPr>
          <w:shd w:val="clear" w:color="auto" w:fill="FFFFFF"/>
        </w:rPr>
        <w:t>30</w:t>
      </w:r>
      <w:r w:rsidR="003777D8">
        <w:rPr>
          <w:shd w:val="clear" w:color="auto" w:fill="FFFFFF"/>
        </w:rPr>
        <w:t>,</w:t>
      </w:r>
      <w:r w:rsidRPr="00640EE3">
        <w:rPr>
          <w:shd w:val="clear" w:color="auto" w:fill="FFFFFF"/>
        </w:rPr>
        <w:t>8</w:t>
      </w:r>
      <w:r w:rsidR="003777D8">
        <w:rPr>
          <w:shd w:val="clear" w:color="auto" w:fill="FFFFFF"/>
        </w:rPr>
        <w:t xml:space="preserve"> tys.</w:t>
      </w:r>
      <w:r w:rsidRPr="006A34B3">
        <w:rPr>
          <w:shd w:val="clear" w:color="auto" w:fill="FFFFFF"/>
        </w:rPr>
        <w:t xml:space="preserve">) i wyniosła </w:t>
      </w:r>
      <w:r w:rsidRPr="00640EE3">
        <w:rPr>
          <w:shd w:val="clear" w:color="auto" w:fill="FFFFFF"/>
        </w:rPr>
        <w:t>25</w:t>
      </w:r>
      <w:r w:rsidR="003777D8">
        <w:rPr>
          <w:shd w:val="clear" w:color="auto" w:fill="FFFFFF"/>
        </w:rPr>
        <w:t>5,0 tys.</w:t>
      </w:r>
    </w:p>
    <w:p w:rsidR="00A71FD1" w:rsidRDefault="00A71FD1" w:rsidP="00A71FD1">
      <w:pPr>
        <w:rPr>
          <w:noProof/>
          <w:lang w:eastAsia="pl-PL"/>
        </w:rPr>
      </w:pPr>
      <w:r>
        <w:rPr>
          <w:noProof/>
          <w:lang w:eastAsia="pl-PL"/>
        </w:rPr>
        <w:t>Województwo wielkopolskie zajmowało 3. lokatę pod względem liczby mieszkań za mazowieckim (</w:t>
      </w:r>
      <w:r w:rsidRPr="001D765B">
        <w:rPr>
          <w:noProof/>
          <w:lang w:eastAsia="pl-PL"/>
        </w:rPr>
        <w:t>2419</w:t>
      </w:r>
      <w:r w:rsidR="009F06DE">
        <w:rPr>
          <w:noProof/>
          <w:lang w:eastAsia="pl-PL"/>
        </w:rPr>
        <w:t>,1 tys.</w:t>
      </w:r>
      <w:r>
        <w:rPr>
          <w:noProof/>
          <w:lang w:eastAsia="pl-PL"/>
        </w:rPr>
        <w:t xml:space="preserve">, tj. </w:t>
      </w:r>
      <w:r w:rsidRPr="001D765B">
        <w:rPr>
          <w:noProof/>
          <w:lang w:eastAsia="pl-PL"/>
        </w:rPr>
        <w:t>15,9</w:t>
      </w:r>
      <w:r>
        <w:rPr>
          <w:noProof/>
          <w:lang w:eastAsia="pl-PL"/>
        </w:rPr>
        <w:t>%) i śląskim (</w:t>
      </w:r>
      <w:r w:rsidRPr="001D765B">
        <w:rPr>
          <w:noProof/>
          <w:lang w:eastAsia="pl-PL"/>
        </w:rPr>
        <w:t>1815</w:t>
      </w:r>
      <w:r w:rsidR="009F06DE">
        <w:rPr>
          <w:noProof/>
          <w:lang w:eastAsia="pl-PL"/>
        </w:rPr>
        <w:t>,</w:t>
      </w:r>
      <w:r w:rsidRPr="001D765B">
        <w:rPr>
          <w:noProof/>
          <w:lang w:eastAsia="pl-PL"/>
        </w:rPr>
        <w:t>7</w:t>
      </w:r>
      <w:r w:rsidR="009F06DE">
        <w:rPr>
          <w:noProof/>
          <w:lang w:eastAsia="pl-PL"/>
        </w:rPr>
        <w:t xml:space="preserve"> tys.</w:t>
      </w:r>
      <w:r>
        <w:rPr>
          <w:noProof/>
          <w:lang w:eastAsia="pl-PL"/>
        </w:rPr>
        <w:t xml:space="preserve">, tj. </w:t>
      </w:r>
      <w:r w:rsidRPr="001D765B">
        <w:rPr>
          <w:noProof/>
          <w:lang w:eastAsia="pl-PL"/>
        </w:rPr>
        <w:t>11,9</w:t>
      </w:r>
      <w:r>
        <w:rPr>
          <w:noProof/>
          <w:lang w:eastAsia="pl-PL"/>
        </w:rPr>
        <w:t>%), a w zakresie liczby budynków plasowało się na 4. miejscu, po mazowieckim (</w:t>
      </w:r>
      <w:r w:rsidRPr="001D765B">
        <w:rPr>
          <w:noProof/>
          <w:lang w:eastAsia="pl-PL"/>
        </w:rPr>
        <w:t>956</w:t>
      </w:r>
      <w:r w:rsidR="009F06DE">
        <w:rPr>
          <w:noProof/>
          <w:lang w:eastAsia="pl-PL"/>
        </w:rPr>
        <w:t>,4 tys.</w:t>
      </w:r>
      <w:r>
        <w:rPr>
          <w:noProof/>
          <w:lang w:eastAsia="pl-PL"/>
        </w:rPr>
        <w:t>, tj. 14,0%), śląskim (</w:t>
      </w:r>
      <w:r w:rsidRPr="001D765B">
        <w:rPr>
          <w:noProof/>
          <w:lang w:eastAsia="pl-PL"/>
        </w:rPr>
        <w:t>710</w:t>
      </w:r>
      <w:r w:rsidR="009F06DE">
        <w:rPr>
          <w:noProof/>
          <w:lang w:eastAsia="pl-PL"/>
        </w:rPr>
        <w:t>,4 tys.</w:t>
      </w:r>
      <w:r>
        <w:rPr>
          <w:noProof/>
          <w:lang w:eastAsia="pl-PL"/>
        </w:rPr>
        <w:t>, tj. 10,4%) i małopolskim (</w:t>
      </w:r>
      <w:r w:rsidRPr="001D765B">
        <w:rPr>
          <w:noProof/>
          <w:lang w:eastAsia="pl-PL"/>
        </w:rPr>
        <w:t>694</w:t>
      </w:r>
      <w:r w:rsidR="009F06DE">
        <w:rPr>
          <w:noProof/>
          <w:lang w:eastAsia="pl-PL"/>
        </w:rPr>
        <w:t>,4 tys.</w:t>
      </w:r>
      <w:r w:rsidR="00BA6648">
        <w:rPr>
          <w:noProof/>
          <w:lang w:eastAsia="pl-PL"/>
        </w:rPr>
        <w:t>,</w:t>
      </w:r>
      <w:r>
        <w:rPr>
          <w:noProof/>
          <w:lang w:eastAsia="pl-PL"/>
        </w:rPr>
        <w:t xml:space="preserve"> tj. 10,2%).</w:t>
      </w:r>
    </w:p>
    <w:p w:rsidR="00A71FD1" w:rsidRDefault="00A71FD1" w:rsidP="00A71FD1">
      <w:pPr>
        <w:rPr>
          <w:noProof/>
          <w:lang w:eastAsia="pl-PL"/>
        </w:rPr>
      </w:pPr>
      <w:r>
        <w:rPr>
          <w:noProof/>
          <w:lang w:eastAsia="pl-PL"/>
        </w:rPr>
        <w:t>Wzrost</w:t>
      </w:r>
      <w:r w:rsidRPr="00DE3295">
        <w:rPr>
          <w:noProof/>
          <w:lang w:eastAsia="pl-PL"/>
        </w:rPr>
        <w:t xml:space="preserve"> </w:t>
      </w:r>
      <w:r>
        <w:rPr>
          <w:noProof/>
          <w:lang w:eastAsia="pl-PL"/>
        </w:rPr>
        <w:t xml:space="preserve">liczby </w:t>
      </w:r>
      <w:r w:rsidRPr="00DE3295">
        <w:rPr>
          <w:noProof/>
          <w:lang w:eastAsia="pl-PL"/>
        </w:rPr>
        <w:t>mieszkań o</w:t>
      </w:r>
      <w:r>
        <w:rPr>
          <w:noProof/>
          <w:lang w:eastAsia="pl-PL"/>
        </w:rPr>
        <w:t>bserwowany w</w:t>
      </w:r>
      <w:r w:rsidRPr="00DE3295">
        <w:rPr>
          <w:noProof/>
          <w:lang w:eastAsia="pl-PL"/>
        </w:rPr>
        <w:t xml:space="preserve"> </w:t>
      </w:r>
      <w:r>
        <w:rPr>
          <w:noProof/>
          <w:lang w:eastAsia="pl-PL"/>
        </w:rPr>
        <w:t>wielkopolskim w latach</w:t>
      </w:r>
      <w:r w:rsidRPr="00DE3295">
        <w:rPr>
          <w:noProof/>
          <w:lang w:eastAsia="pl-PL"/>
        </w:rPr>
        <w:t xml:space="preserve"> 2011–2021 </w:t>
      </w:r>
      <w:r>
        <w:rPr>
          <w:noProof/>
          <w:lang w:eastAsia="pl-PL"/>
        </w:rPr>
        <w:t>(17,7%) należy do najwy</w:t>
      </w:r>
      <w:r w:rsidRPr="005D10C7">
        <w:rPr>
          <w:noProof/>
          <w:lang w:eastAsia="pl-PL"/>
        </w:rPr>
        <w:t>ższych w kraju</w:t>
      </w:r>
      <w:r>
        <w:rPr>
          <w:noProof/>
          <w:lang w:eastAsia="pl-PL"/>
        </w:rPr>
        <w:t>. Większy odnotowano jedynie w województw</w:t>
      </w:r>
      <w:r w:rsidR="00F50E3A">
        <w:rPr>
          <w:noProof/>
          <w:lang w:eastAsia="pl-PL"/>
        </w:rPr>
        <w:t>ach</w:t>
      </w:r>
      <w:r>
        <w:rPr>
          <w:noProof/>
          <w:lang w:eastAsia="pl-PL"/>
        </w:rPr>
        <w:t xml:space="preserve"> pomorskim </w:t>
      </w:r>
      <w:r w:rsidRPr="005D10C7">
        <w:rPr>
          <w:noProof/>
          <w:lang w:eastAsia="pl-PL"/>
        </w:rPr>
        <w:t xml:space="preserve">(19,8%) </w:t>
      </w:r>
      <w:r>
        <w:rPr>
          <w:noProof/>
          <w:lang w:eastAsia="pl-PL"/>
        </w:rPr>
        <w:t xml:space="preserve">i małpolskim (19,3%). </w:t>
      </w:r>
      <w:r w:rsidRPr="005D10C7">
        <w:rPr>
          <w:noProof/>
          <w:lang w:eastAsia="pl-PL"/>
        </w:rPr>
        <w:t xml:space="preserve">Najmniej mieszkań natomiast przybyło w </w:t>
      </w:r>
      <w:r>
        <w:rPr>
          <w:noProof/>
          <w:lang w:eastAsia="pl-PL"/>
        </w:rPr>
        <w:t xml:space="preserve">opolskim (4,9%) oraz </w:t>
      </w:r>
      <w:r w:rsidRPr="005D10C7">
        <w:rPr>
          <w:noProof/>
          <w:lang w:eastAsia="pl-PL"/>
        </w:rPr>
        <w:t>świętokrzyskim (6,3%)</w:t>
      </w:r>
      <w:r>
        <w:rPr>
          <w:noProof/>
          <w:lang w:eastAsia="pl-PL"/>
        </w:rPr>
        <w:t xml:space="preserve">. Wielkopolskie zajmowało również 3. miejsce w zakresie </w:t>
      </w:r>
      <w:r w:rsidRPr="00A0415A">
        <w:rPr>
          <w:noProof/>
          <w:lang w:eastAsia="pl-PL"/>
        </w:rPr>
        <w:t>największy</w:t>
      </w:r>
      <w:r>
        <w:rPr>
          <w:noProof/>
          <w:lang w:eastAsia="pl-PL"/>
        </w:rPr>
        <w:t>ch</w:t>
      </w:r>
      <w:r w:rsidRPr="00A0415A">
        <w:rPr>
          <w:noProof/>
          <w:lang w:eastAsia="pl-PL"/>
        </w:rPr>
        <w:t xml:space="preserve"> przyrost</w:t>
      </w:r>
      <w:r>
        <w:rPr>
          <w:noProof/>
          <w:lang w:eastAsia="pl-PL"/>
        </w:rPr>
        <w:t>ów liczby</w:t>
      </w:r>
      <w:r w:rsidRPr="00A0415A">
        <w:rPr>
          <w:noProof/>
          <w:lang w:eastAsia="pl-PL"/>
        </w:rPr>
        <w:t xml:space="preserve"> budynków z mieszkaniami</w:t>
      </w:r>
      <w:r>
        <w:rPr>
          <w:noProof/>
          <w:lang w:eastAsia="pl-PL"/>
        </w:rPr>
        <w:t xml:space="preserve"> (17,8%) za województw</w:t>
      </w:r>
      <w:r w:rsidR="006101F3">
        <w:rPr>
          <w:noProof/>
          <w:lang w:eastAsia="pl-PL"/>
        </w:rPr>
        <w:t>ami</w:t>
      </w:r>
      <w:r>
        <w:rPr>
          <w:noProof/>
          <w:lang w:eastAsia="pl-PL"/>
        </w:rPr>
        <w:t xml:space="preserve"> pomorskim (20,7%) i dolnośląskim (19,3%).</w:t>
      </w:r>
      <w:r w:rsidRPr="001E1B97">
        <w:rPr>
          <w:noProof/>
          <w:lang w:eastAsia="pl-PL"/>
        </w:rPr>
        <w:t xml:space="preserve"> </w:t>
      </w:r>
      <w:r w:rsidRPr="00A0415A">
        <w:rPr>
          <w:noProof/>
          <w:lang w:eastAsia="pl-PL"/>
        </w:rPr>
        <w:t>W odniesieniu do istniejącego zaso</w:t>
      </w:r>
      <w:r>
        <w:rPr>
          <w:noProof/>
          <w:lang w:eastAsia="pl-PL"/>
        </w:rPr>
        <w:t>bu najmniej budynków przybyło w lubelskim (4,8%) oraz</w:t>
      </w:r>
      <w:r w:rsidRPr="00A0415A">
        <w:rPr>
          <w:noProof/>
          <w:lang w:eastAsia="pl-PL"/>
        </w:rPr>
        <w:t xml:space="preserve"> świętokrzyskim (5,8%)</w:t>
      </w:r>
      <w:r>
        <w:rPr>
          <w:noProof/>
          <w:lang w:eastAsia="pl-PL"/>
        </w:rPr>
        <w:t>.</w:t>
      </w:r>
    </w:p>
    <w:p w:rsidR="00A71FD1" w:rsidRDefault="00AC025E" w:rsidP="00A71FD1">
      <w:pPr>
        <w:rPr>
          <w:noProof/>
          <w:lang w:eastAsia="pl-PL"/>
        </w:rPr>
      </w:pPr>
      <w:r w:rsidRPr="00E44701">
        <w:rPr>
          <w:noProof/>
          <w:lang w:eastAsia="pl-PL"/>
        </w:rPr>
        <mc:AlternateContent>
          <mc:Choice Requires="wps">
            <w:drawing>
              <wp:anchor distT="45720" distB="45720" distL="114300" distR="114300" simplePos="0" relativeHeight="251793408" behindDoc="1" locked="0" layoutInCell="1" allowOverlap="1" wp14:anchorId="162AB7BA" wp14:editId="7FD706A0">
                <wp:simplePos x="0" y="0"/>
                <wp:positionH relativeFrom="column">
                  <wp:posOffset>5224145</wp:posOffset>
                </wp:positionH>
                <wp:positionV relativeFrom="paragraph">
                  <wp:posOffset>7758</wp:posOffset>
                </wp:positionV>
                <wp:extent cx="1725295" cy="902335"/>
                <wp:effectExtent l="0" t="0" r="0" b="0"/>
                <wp:wrapTight wrapText="bothSides">
                  <wp:wrapPolygon edited="0">
                    <wp:start x="715" y="0"/>
                    <wp:lineTo x="715" y="20977"/>
                    <wp:lineTo x="20749" y="20977"/>
                    <wp:lineTo x="20749" y="0"/>
                    <wp:lineTo x="715" y="0"/>
                  </wp:wrapPolygon>
                </wp:wrapTight>
                <wp:docPr id="11" name="Pole tekstowe 11" descr="W porównaniu z NSP 2011 odnotowano wzrost liczby mieszkań o 13,7% i ich po-wierzchni użytkowej o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2335"/>
                        </a:xfrm>
                        <a:prstGeom prst="rect">
                          <a:avLst/>
                        </a:prstGeom>
                        <a:noFill/>
                        <a:ln w="9525">
                          <a:noFill/>
                          <a:miter lim="800000"/>
                          <a:headEnd/>
                          <a:tailEnd/>
                        </a:ln>
                      </wps:spPr>
                      <wps:txbx>
                        <w:txbxContent>
                          <w:p w:rsidR="00A71FD1" w:rsidRPr="00FD2A41" w:rsidRDefault="00A71FD1" w:rsidP="00A71FD1">
                            <w:pPr>
                              <w:pStyle w:val="tekstzboku"/>
                              <w:spacing w:before="0"/>
                              <w:rPr>
                                <w:bCs w:val="0"/>
                              </w:rPr>
                            </w:pPr>
                            <w:r w:rsidRPr="00E44701">
                              <w:t>W ciągu dekady największy przyrost liczby mieszkań odnoto</w:t>
                            </w:r>
                            <w:r>
                              <w:t>wano w gminach Komorniki (o 92,3%) i Kleszczewo (o </w:t>
                            </w:r>
                            <w:r w:rsidR="00AC025E">
                              <w:t>88,5%)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AB7BA" id="Pole tekstowe 11" o:spid="_x0000_s1035" type="#_x0000_t202" alt="W porównaniu z NSP 2011 odnotowano wzrost liczby mieszkań o 13,7% i ich po-wierzchni użytkowej o 20,3%" style="position:absolute;margin-left:411.35pt;margin-top:.6pt;width:135.85pt;height:71.05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" filled="f" stroked="f">
                <v:textbox>
                  <w:txbxContent>
                    <w:p w:rsidR="00A71FD1" w:rsidRPr="00FD2A41" w:rsidRDefault="00A71FD1" w:rsidP="00A71FD1">
                      <w:pPr>
                        <w:pStyle w:val="tekstzboku"/>
                        <w:spacing w:before="0"/>
                        <w:rPr>
                          <w:bCs w:val="0"/>
                        </w:rPr>
                      </w:pPr>
                      <w:r w:rsidRPr="00E44701">
                        <w:t>W ciągu dekady największy przyrost liczby mieszkań odnoto</w:t>
                      </w:r>
                      <w:r>
                        <w:t>wano w gminach Komorniki (o 92,3%) i Kleszczewo (o </w:t>
                      </w:r>
                      <w:r w:rsidR="00AC025E">
                        <w:t>88,5%)</w:t>
                      </w:r>
                    </w:p>
                  </w:txbxContent>
                </v:textbox>
                <w10:wrap type="tight"/>
              </v:shape>
            </w:pict>
          </mc:Fallback>
        </mc:AlternateContent>
      </w:r>
      <w:r w:rsidR="00A71FD1" w:rsidRPr="00C33B83">
        <w:rPr>
          <w:noProof/>
          <w:lang w:eastAsia="pl-PL"/>
        </w:rPr>
        <w:t xml:space="preserve">W </w:t>
      </w:r>
      <w:r w:rsidR="00A71FD1">
        <w:rPr>
          <w:noProof/>
          <w:lang w:eastAsia="pl-PL"/>
        </w:rPr>
        <w:t>porównaniu z wynikami spisu w 2011 r.</w:t>
      </w:r>
      <w:r w:rsidR="00A71FD1" w:rsidRPr="00C33B83">
        <w:rPr>
          <w:noProof/>
          <w:lang w:eastAsia="pl-PL"/>
        </w:rPr>
        <w:t xml:space="preserve"> największy </w:t>
      </w:r>
      <w:r w:rsidR="00A71FD1">
        <w:rPr>
          <w:noProof/>
          <w:lang w:eastAsia="pl-PL"/>
        </w:rPr>
        <w:t>wzrost liczby mieszkań odnotowano w </w:t>
      </w:r>
      <w:r w:rsidR="00A71FD1" w:rsidRPr="00C33B83">
        <w:rPr>
          <w:noProof/>
          <w:lang w:eastAsia="pl-PL"/>
        </w:rPr>
        <w:t xml:space="preserve">gminach, które charakteryzowały się </w:t>
      </w:r>
      <w:r w:rsidR="00A71FD1">
        <w:rPr>
          <w:noProof/>
          <w:lang w:eastAsia="pl-PL"/>
        </w:rPr>
        <w:t>z największym</w:t>
      </w:r>
      <w:r w:rsidR="00A71FD1" w:rsidRPr="00C33B83">
        <w:rPr>
          <w:noProof/>
          <w:lang w:eastAsia="pl-PL"/>
        </w:rPr>
        <w:t xml:space="preserve"> przyrost</w:t>
      </w:r>
      <w:r w:rsidR="00A71FD1">
        <w:rPr>
          <w:noProof/>
          <w:lang w:eastAsia="pl-PL"/>
        </w:rPr>
        <w:t>em</w:t>
      </w:r>
      <w:r w:rsidR="00A71FD1" w:rsidRPr="00C33B83">
        <w:rPr>
          <w:noProof/>
          <w:lang w:eastAsia="pl-PL"/>
        </w:rPr>
        <w:t xml:space="preserve"> ludności. </w:t>
      </w:r>
      <w:r w:rsidR="00A71FD1" w:rsidRPr="00C56786">
        <w:rPr>
          <w:bCs/>
          <w:noProof/>
          <w:sz w:val="20"/>
          <w:szCs w:val="20"/>
          <w:lang w:eastAsia="pl-PL"/>
        </w:rPr>
        <w:t xml:space="preserve">Dotyczyło to </w:t>
      </w:r>
      <w:r w:rsidR="00A71FD1">
        <w:rPr>
          <w:bCs/>
          <w:noProof/>
          <w:sz w:val="20"/>
          <w:szCs w:val="20"/>
          <w:lang w:eastAsia="pl-PL"/>
        </w:rPr>
        <w:t xml:space="preserve">przede wszystkim </w:t>
      </w:r>
      <w:r w:rsidR="00A71FD1" w:rsidRPr="00C56786">
        <w:rPr>
          <w:bCs/>
          <w:noProof/>
          <w:sz w:val="20"/>
          <w:szCs w:val="20"/>
          <w:lang w:eastAsia="pl-PL"/>
        </w:rPr>
        <w:t xml:space="preserve">gmin położonych w </w:t>
      </w:r>
      <w:r w:rsidR="00A71FD1" w:rsidRPr="00C56786">
        <w:rPr>
          <w:noProof/>
          <w:spacing w:val="-2"/>
          <w:sz w:val="20"/>
          <w:szCs w:val="20"/>
        </w:rPr>
        <w:t>bezpośrednim sąsiedztwie</w:t>
      </w:r>
      <w:r w:rsidR="00A71FD1" w:rsidRPr="00C56786">
        <w:rPr>
          <w:bCs/>
          <w:noProof/>
          <w:sz w:val="20"/>
          <w:szCs w:val="20"/>
          <w:lang w:eastAsia="pl-PL"/>
        </w:rPr>
        <w:t xml:space="preserve"> ośrodków miejskich.</w:t>
      </w:r>
      <w:r w:rsidR="00A71FD1">
        <w:rPr>
          <w:bCs/>
          <w:noProof/>
          <w:sz w:val="20"/>
          <w:szCs w:val="20"/>
          <w:lang w:eastAsia="pl-PL"/>
        </w:rPr>
        <w:t xml:space="preserve"> </w:t>
      </w:r>
      <w:r w:rsidR="00A71FD1">
        <w:rPr>
          <w:noProof/>
          <w:lang w:eastAsia="pl-PL"/>
        </w:rPr>
        <w:t xml:space="preserve">W województwie wielkopolskim najwięcej mieszkań przybyło w gminach wiejskich </w:t>
      </w:r>
      <w:r w:rsidR="00A71FD1" w:rsidRPr="00146F14">
        <w:rPr>
          <w:noProof/>
          <w:lang w:eastAsia="pl-PL"/>
        </w:rPr>
        <w:t xml:space="preserve">sąsiadujących </w:t>
      </w:r>
      <w:r w:rsidR="00A71FD1">
        <w:rPr>
          <w:noProof/>
          <w:lang w:eastAsia="pl-PL"/>
        </w:rPr>
        <w:t>z Poznaniem, tj</w:t>
      </w:r>
      <w:r w:rsidR="00A71FD1" w:rsidRPr="00C33B83">
        <w:rPr>
          <w:noProof/>
          <w:lang w:eastAsia="pl-PL"/>
        </w:rPr>
        <w:t>.</w:t>
      </w:r>
      <w:r w:rsidR="00A71FD1">
        <w:rPr>
          <w:noProof/>
          <w:lang w:eastAsia="pl-PL"/>
        </w:rPr>
        <w:t xml:space="preserve"> w Komornikach (wzrost o 92,3% przy przyroście liczby mieszkańców o </w:t>
      </w:r>
      <w:r w:rsidR="00A71FD1" w:rsidRPr="00DD2C39">
        <w:rPr>
          <w:noProof/>
          <w:lang w:eastAsia="pl-PL"/>
        </w:rPr>
        <w:t>77,1</w:t>
      </w:r>
      <w:r w:rsidR="00A71FD1">
        <w:rPr>
          <w:noProof/>
          <w:lang w:eastAsia="pl-PL"/>
        </w:rPr>
        <w:t xml:space="preserve">%), </w:t>
      </w:r>
      <w:r w:rsidR="00A71FD1" w:rsidRPr="00DD2C39">
        <w:rPr>
          <w:noProof/>
          <w:lang w:eastAsia="pl-PL"/>
        </w:rPr>
        <w:t xml:space="preserve">Kleszczewie </w:t>
      </w:r>
      <w:r w:rsidR="00A71FD1">
        <w:rPr>
          <w:noProof/>
          <w:lang w:eastAsia="pl-PL"/>
        </w:rPr>
        <w:t xml:space="preserve">(odpowiednio o 88,5% i </w:t>
      </w:r>
      <w:r w:rsidR="00A71FD1" w:rsidRPr="00DD2C39">
        <w:rPr>
          <w:noProof/>
          <w:lang w:eastAsia="pl-PL"/>
        </w:rPr>
        <w:t>68,7</w:t>
      </w:r>
      <w:r w:rsidR="00A71FD1">
        <w:rPr>
          <w:noProof/>
          <w:lang w:eastAsia="pl-PL"/>
        </w:rPr>
        <w:t>%), Rokietnicy (</w:t>
      </w:r>
      <w:r w:rsidR="00A71FD1" w:rsidRPr="00D323DB">
        <w:rPr>
          <w:noProof/>
          <w:lang w:eastAsia="pl-PL"/>
        </w:rPr>
        <w:t>odpowiednio o 85,3</w:t>
      </w:r>
      <w:r w:rsidR="00A71FD1">
        <w:rPr>
          <w:noProof/>
          <w:lang w:eastAsia="pl-PL"/>
        </w:rPr>
        <w:t>%</w:t>
      </w:r>
      <w:r w:rsidR="00A71FD1" w:rsidRPr="00D323DB">
        <w:rPr>
          <w:noProof/>
          <w:lang w:eastAsia="pl-PL"/>
        </w:rPr>
        <w:t xml:space="preserve"> </w:t>
      </w:r>
      <w:r w:rsidR="00A71FD1">
        <w:rPr>
          <w:noProof/>
          <w:lang w:eastAsia="pl-PL"/>
        </w:rPr>
        <w:t xml:space="preserve">i </w:t>
      </w:r>
      <w:r w:rsidR="00A71FD1" w:rsidRPr="00D323DB">
        <w:rPr>
          <w:noProof/>
          <w:lang w:eastAsia="pl-PL"/>
        </w:rPr>
        <w:t>74,7</w:t>
      </w:r>
      <w:r w:rsidR="00A71FD1">
        <w:rPr>
          <w:noProof/>
          <w:lang w:eastAsia="pl-PL"/>
        </w:rPr>
        <w:t>%)</w:t>
      </w:r>
      <w:r w:rsidR="00A71FD1" w:rsidRPr="00D323DB">
        <w:rPr>
          <w:noProof/>
          <w:lang w:eastAsia="pl-PL"/>
        </w:rPr>
        <w:t xml:space="preserve"> </w:t>
      </w:r>
      <w:r w:rsidR="00A71FD1">
        <w:rPr>
          <w:noProof/>
          <w:lang w:eastAsia="pl-PL"/>
        </w:rPr>
        <w:t>oraz Dopiewie (</w:t>
      </w:r>
      <w:r w:rsidR="00A71FD1" w:rsidRPr="00D323DB">
        <w:rPr>
          <w:noProof/>
          <w:lang w:eastAsia="pl-PL"/>
        </w:rPr>
        <w:t>odpowiednio o</w:t>
      </w:r>
      <w:r w:rsidR="00A71FD1">
        <w:rPr>
          <w:noProof/>
          <w:lang w:eastAsia="pl-PL"/>
        </w:rPr>
        <w:t xml:space="preserve"> </w:t>
      </w:r>
      <w:r w:rsidR="00A71FD1" w:rsidRPr="00D323DB">
        <w:rPr>
          <w:noProof/>
          <w:lang w:eastAsia="pl-PL"/>
        </w:rPr>
        <w:t>82,9</w:t>
      </w:r>
      <w:r w:rsidR="00A71FD1">
        <w:rPr>
          <w:noProof/>
          <w:lang w:eastAsia="pl-PL"/>
        </w:rPr>
        <w:t xml:space="preserve">% i </w:t>
      </w:r>
      <w:r w:rsidR="00A71FD1" w:rsidRPr="00D323DB">
        <w:rPr>
          <w:noProof/>
          <w:lang w:eastAsia="pl-PL"/>
        </w:rPr>
        <w:t>76,8</w:t>
      </w:r>
      <w:r w:rsidR="00A71FD1">
        <w:rPr>
          <w:noProof/>
          <w:lang w:eastAsia="pl-PL"/>
        </w:rPr>
        <w:t xml:space="preserve">%). Ubytek zasobu mieszkań obserwowano natomiast w dwóch gminach w powiecie kolskim – Przedecz (o 4,6%) i Chodów (o 1,3%) oraz w gminie Wilczyn w powiecie konińskim (o 2,2%), co było powiązane m.in. ze spadkiem liczby </w:t>
      </w:r>
      <w:r w:rsidR="00A71FD1" w:rsidRPr="00347697">
        <w:rPr>
          <w:noProof/>
          <w:lang w:eastAsia="pl-PL"/>
        </w:rPr>
        <w:t xml:space="preserve">ludności zamieszkującej </w:t>
      </w:r>
      <w:r w:rsidR="00A71FD1">
        <w:rPr>
          <w:noProof/>
          <w:lang w:eastAsia="pl-PL"/>
        </w:rPr>
        <w:t xml:space="preserve">na tych </w:t>
      </w:r>
      <w:r w:rsidR="00A71FD1" w:rsidRPr="00347697">
        <w:rPr>
          <w:noProof/>
          <w:lang w:eastAsia="pl-PL"/>
        </w:rPr>
        <w:t>obszar</w:t>
      </w:r>
      <w:r w:rsidR="00A71FD1">
        <w:rPr>
          <w:noProof/>
          <w:lang w:eastAsia="pl-PL"/>
        </w:rPr>
        <w:t>a</w:t>
      </w:r>
      <w:r w:rsidR="00887D7C">
        <w:rPr>
          <w:noProof/>
          <w:lang w:eastAsia="pl-PL"/>
        </w:rPr>
        <w:t>ch (odpowiednio o 8,2%, 15,3% i </w:t>
      </w:r>
      <w:r w:rsidR="00A71FD1">
        <w:rPr>
          <w:noProof/>
          <w:lang w:eastAsia="pl-PL"/>
        </w:rPr>
        <w:t>7,4%).</w:t>
      </w:r>
    </w:p>
    <w:p w:rsidR="00A71FD1" w:rsidRDefault="00A71FD1">
      <w:pPr>
        <w:spacing w:before="0" w:after="160" w:line="259" w:lineRule="auto"/>
        <w:rPr>
          <w:noProof/>
          <w:lang w:eastAsia="pl-PL"/>
        </w:rPr>
      </w:pPr>
      <w:r>
        <w:rPr>
          <w:noProof/>
          <w:lang w:eastAsia="pl-PL"/>
        </w:rPr>
        <w:br w:type="page"/>
      </w:r>
    </w:p>
    <w:p w:rsidR="00A71FD1" w:rsidRDefault="00FB4D9C" w:rsidP="00A71FD1">
      <w:pPr>
        <w:pStyle w:val="Tytuwykresu0"/>
        <w:rPr>
          <w:shd w:val="clear" w:color="auto" w:fill="FFFFFF"/>
        </w:rPr>
      </w:pPr>
      <w:r w:rsidRPr="00FB4D9C">
        <w:lastRenderedPageBreak/>
        <w:drawing>
          <wp:anchor distT="0" distB="180340" distL="114300" distR="114300" simplePos="0" relativeHeight="251797504" behindDoc="0" locked="0" layoutInCell="1" allowOverlap="1">
            <wp:simplePos x="0" y="0"/>
            <wp:positionH relativeFrom="column">
              <wp:posOffset>464986</wp:posOffset>
            </wp:positionH>
            <wp:positionV relativeFrom="paragraph">
              <wp:posOffset>244254</wp:posOffset>
            </wp:positionV>
            <wp:extent cx="4230000" cy="5349600"/>
            <wp:effectExtent l="0" t="0" r="0" b="3810"/>
            <wp:wrapTopAndBottom/>
            <wp:docPr id="29" name="Obraz 29" descr="Kartogram – gminy województwa wielkopolskiego, dotyczący zmian liczby mieszkań w porównaniu z 2011 r. Cieniowanie (7 przedziałów) – przyrost/ubytek liczby mieszkań w %. Dodatkowo wartość dla województwa wielkopolskiego (17,7% – przyrost mieszk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0000" cy="53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25E">
        <w:rPr>
          <w:shd w:val="clear" w:color="auto" w:fill="FFFFFF"/>
        </w:rPr>
        <w:t>Mapa 6</w:t>
      </w:r>
      <w:r w:rsidR="00A71FD1">
        <w:rPr>
          <w:shd w:val="clear" w:color="auto" w:fill="FFFFFF"/>
        </w:rPr>
        <w:t xml:space="preserve">. Zmiana liczby </w:t>
      </w:r>
      <w:r w:rsidR="008A15B0">
        <w:rPr>
          <w:shd w:val="clear" w:color="auto" w:fill="FFFFFF"/>
        </w:rPr>
        <w:t>mieszkań</w:t>
      </w:r>
      <w:r w:rsidR="00A71FD1">
        <w:rPr>
          <w:shd w:val="clear" w:color="auto" w:fill="FFFFFF"/>
        </w:rPr>
        <w:t xml:space="preserve"> w latach 2011–2021</w:t>
      </w:r>
    </w:p>
    <w:p w:rsidR="00A71FD1" w:rsidRDefault="00A71FD1" w:rsidP="00A71FD1">
      <w:pPr>
        <w:spacing w:before="240"/>
        <w:rPr>
          <w:noProof/>
          <w:lang w:eastAsia="pl-PL"/>
        </w:rPr>
      </w:pPr>
      <w:r w:rsidRPr="00C86BD5">
        <w:rPr>
          <w:noProof/>
          <w:lang w:eastAsia="pl-PL"/>
        </w:rPr>
        <w:t xml:space="preserve">Biorąc pod uwagę zasoby </w:t>
      </w:r>
      <w:r>
        <w:rPr>
          <w:noProof/>
          <w:lang w:eastAsia="pl-PL"/>
        </w:rPr>
        <w:t>budynków</w:t>
      </w:r>
      <w:r w:rsidRPr="00C86BD5">
        <w:rPr>
          <w:noProof/>
          <w:lang w:eastAsia="pl-PL"/>
        </w:rPr>
        <w:t xml:space="preserve"> w województwie wielkopolskim </w:t>
      </w:r>
      <w:r>
        <w:rPr>
          <w:noProof/>
          <w:lang w:eastAsia="pl-PL"/>
        </w:rPr>
        <w:t>w ujęciu gminnym</w:t>
      </w:r>
      <w:r w:rsidRPr="00C86BD5">
        <w:rPr>
          <w:noProof/>
          <w:lang w:eastAsia="pl-PL"/>
        </w:rPr>
        <w:t xml:space="preserve"> </w:t>
      </w:r>
      <w:r w:rsidRPr="00CD224A">
        <w:rPr>
          <w:noProof/>
          <w:lang w:eastAsia="pl-PL"/>
        </w:rPr>
        <w:t xml:space="preserve">największy </w:t>
      </w:r>
      <w:r>
        <w:rPr>
          <w:noProof/>
          <w:lang w:eastAsia="pl-PL"/>
        </w:rPr>
        <w:t xml:space="preserve">ich </w:t>
      </w:r>
      <w:r w:rsidRPr="00CD224A">
        <w:rPr>
          <w:noProof/>
          <w:lang w:eastAsia="pl-PL"/>
        </w:rPr>
        <w:t xml:space="preserve">udział </w:t>
      </w:r>
      <w:r>
        <w:rPr>
          <w:noProof/>
          <w:lang w:eastAsia="pl-PL"/>
        </w:rPr>
        <w:t>od</w:t>
      </w:r>
      <w:r w:rsidRPr="00CD224A">
        <w:rPr>
          <w:noProof/>
          <w:lang w:eastAsia="pl-PL"/>
        </w:rPr>
        <w:t>notowano</w:t>
      </w:r>
      <w:r w:rsidRPr="00C86BD5">
        <w:rPr>
          <w:noProof/>
          <w:lang w:eastAsia="pl-PL"/>
        </w:rPr>
        <w:t xml:space="preserve"> </w:t>
      </w:r>
      <w:r>
        <w:rPr>
          <w:noProof/>
          <w:lang w:eastAsia="pl-PL"/>
        </w:rPr>
        <w:t>w gminach miejskich: Poznań</w:t>
      </w:r>
      <w:r w:rsidRPr="00C86BD5">
        <w:rPr>
          <w:noProof/>
          <w:lang w:eastAsia="pl-PL"/>
        </w:rPr>
        <w:t xml:space="preserve"> – </w:t>
      </w:r>
      <w:r>
        <w:rPr>
          <w:noProof/>
          <w:lang w:eastAsia="pl-PL"/>
        </w:rPr>
        <w:t>49</w:t>
      </w:r>
      <w:r w:rsidR="009F06DE">
        <w:rPr>
          <w:noProof/>
          <w:lang w:eastAsia="pl-PL"/>
        </w:rPr>
        <w:t>,</w:t>
      </w:r>
      <w:r w:rsidRPr="00CB7151">
        <w:rPr>
          <w:noProof/>
          <w:lang w:eastAsia="pl-PL"/>
        </w:rPr>
        <w:t>9</w:t>
      </w:r>
      <w:r w:rsidR="009F06DE">
        <w:rPr>
          <w:noProof/>
          <w:lang w:eastAsia="pl-PL"/>
        </w:rPr>
        <w:t xml:space="preserve"> tys.</w:t>
      </w:r>
      <w:r w:rsidRPr="00CB7151">
        <w:rPr>
          <w:noProof/>
          <w:lang w:eastAsia="pl-PL"/>
        </w:rPr>
        <w:t xml:space="preserve"> </w:t>
      </w:r>
      <w:r>
        <w:rPr>
          <w:noProof/>
          <w:lang w:eastAsia="pl-PL"/>
        </w:rPr>
        <w:t>(7,7%</w:t>
      </w:r>
      <w:r w:rsidRPr="00C86BD5">
        <w:rPr>
          <w:noProof/>
          <w:lang w:eastAsia="pl-PL"/>
        </w:rPr>
        <w:t xml:space="preserve">), </w:t>
      </w:r>
      <w:r>
        <w:rPr>
          <w:noProof/>
          <w:lang w:eastAsia="pl-PL"/>
        </w:rPr>
        <w:t>Ostrów Wielkopolski – 1</w:t>
      </w:r>
      <w:r w:rsidR="009F06DE">
        <w:rPr>
          <w:noProof/>
          <w:lang w:eastAsia="pl-PL"/>
        </w:rPr>
        <w:t>2,0 tys.</w:t>
      </w:r>
      <w:r w:rsidRPr="00CB7151">
        <w:rPr>
          <w:noProof/>
          <w:lang w:eastAsia="pl-PL"/>
        </w:rPr>
        <w:t xml:space="preserve"> </w:t>
      </w:r>
      <w:r>
        <w:rPr>
          <w:noProof/>
          <w:lang w:eastAsia="pl-PL"/>
        </w:rPr>
        <w:t>(1,8%) i Kalisz –</w:t>
      </w:r>
      <w:r w:rsidRPr="00CB7151">
        <w:t xml:space="preserve"> </w:t>
      </w:r>
      <w:r>
        <w:rPr>
          <w:noProof/>
          <w:lang w:eastAsia="pl-PL"/>
        </w:rPr>
        <w:t>10</w:t>
      </w:r>
      <w:r w:rsidR="009F06DE">
        <w:rPr>
          <w:noProof/>
          <w:lang w:eastAsia="pl-PL"/>
        </w:rPr>
        <w:t>,1</w:t>
      </w:r>
      <w:r>
        <w:rPr>
          <w:noProof/>
          <w:lang w:eastAsia="pl-PL"/>
        </w:rPr>
        <w:t xml:space="preserve"> </w:t>
      </w:r>
      <w:r w:rsidR="009F06DE">
        <w:rPr>
          <w:noProof/>
          <w:lang w:eastAsia="pl-PL"/>
        </w:rPr>
        <w:t xml:space="preserve">tys. </w:t>
      </w:r>
      <w:r>
        <w:rPr>
          <w:noProof/>
          <w:lang w:eastAsia="pl-PL"/>
        </w:rPr>
        <w:t xml:space="preserve">(1,6%). </w:t>
      </w:r>
      <w:r w:rsidRPr="00C86BD5">
        <w:rPr>
          <w:noProof/>
          <w:lang w:eastAsia="pl-PL"/>
        </w:rPr>
        <w:t>N</w:t>
      </w:r>
      <w:r>
        <w:rPr>
          <w:noProof/>
          <w:lang w:eastAsia="pl-PL"/>
        </w:rPr>
        <w:t>atomiast n</w:t>
      </w:r>
      <w:r w:rsidRPr="00C86BD5">
        <w:rPr>
          <w:noProof/>
          <w:lang w:eastAsia="pl-PL"/>
        </w:rPr>
        <w:t>ajmniej budynków</w:t>
      </w:r>
      <w:r>
        <w:rPr>
          <w:noProof/>
          <w:lang w:eastAsia="pl-PL"/>
        </w:rPr>
        <w:t xml:space="preserve"> znajdowało się w gminie miejskiej Obrzycko w powiecie szamotulskim oraz wiejskiej Wapno w powiecie wągrowieckim (</w:t>
      </w:r>
      <w:r w:rsidR="007A0708">
        <w:rPr>
          <w:noProof/>
          <w:lang w:eastAsia="pl-PL"/>
        </w:rPr>
        <w:t>po 0,6 tys.</w:t>
      </w:r>
      <w:r>
        <w:rPr>
          <w:noProof/>
          <w:lang w:eastAsia="pl-PL"/>
        </w:rPr>
        <w:t xml:space="preserve">), a ich udział nie sięgał 0,1% zasobów województwa. </w:t>
      </w:r>
    </w:p>
    <w:p w:rsidR="00AC025E" w:rsidRPr="005F27EC" w:rsidRDefault="00AC025E" w:rsidP="00FB4D9C">
      <w:pPr>
        <w:tabs>
          <w:tab w:val="left" w:pos="2940"/>
          <w:tab w:val="center" w:pos="4002"/>
        </w:tabs>
        <w:spacing w:before="2000" w:after="160"/>
        <w:ind w:right="62"/>
        <w:jc w:val="center"/>
        <w:rPr>
          <w:szCs w:val="19"/>
        </w:rPr>
      </w:pPr>
      <w:r w:rsidRPr="005F27EC">
        <w:rPr>
          <w:szCs w:val="19"/>
        </w:rPr>
        <w:t>* * *</w:t>
      </w:r>
    </w:p>
    <w:p w:rsidR="00694AF0" w:rsidRPr="00FB4D9C" w:rsidRDefault="00D67496" w:rsidP="00E76D26">
      <w:pPr>
        <w:rPr>
          <w:shd w:val="clear" w:color="auto" w:fill="FFFFFF"/>
        </w:rPr>
      </w:pPr>
      <w:r w:rsidRPr="004453AC">
        <w:rPr>
          <w:szCs w:val="19"/>
        </w:rPr>
        <w:t xml:space="preserve">W przypadku cytowania danych Głównego Urzędu Statystycznego </w:t>
      </w:r>
      <w:r w:rsidRPr="00EC6798">
        <w:rPr>
          <w:szCs w:val="19"/>
        </w:rPr>
        <w:t>prosimy o zamieszczenie informacji: „Źródło: dane GUS”, a w przypadku publiko</w:t>
      </w:r>
      <w:r>
        <w:rPr>
          <w:szCs w:val="19"/>
        </w:rPr>
        <w:t>wania obliczeń dokonanych na da</w:t>
      </w:r>
      <w:r w:rsidRPr="00EC6798">
        <w:rPr>
          <w:szCs w:val="19"/>
        </w:rPr>
        <w:t>nych opublikowanych przez GUS prosimy o zamieszczenie informacji: „Źródł</w:t>
      </w:r>
      <w:r>
        <w:rPr>
          <w:szCs w:val="19"/>
        </w:rPr>
        <w:t>o: opracowa</w:t>
      </w:r>
      <w:r w:rsidRPr="00EC6798">
        <w:rPr>
          <w:szCs w:val="19"/>
        </w:rPr>
        <w:t>nie własne na podstawie danych GUS”.</w:t>
      </w:r>
    </w:p>
    <w:p w:rsidR="00DA331D" w:rsidRPr="00001C5B" w:rsidRDefault="00DA331D" w:rsidP="00DA331D">
      <w:pPr>
        <w:spacing w:before="360"/>
        <w:rPr>
          <w:sz w:val="18"/>
        </w:rPr>
        <w:sectPr w:rsidR="00DA331D" w:rsidRPr="00001C5B" w:rsidSect="003B18B6">
          <w:headerReference w:type="default" r:id="rId19"/>
          <w:footerReference w:type="default" r:id="rId20"/>
          <w:headerReference w:type="first" r:id="rId21"/>
          <w:footerReference w:type="first" r:id="rId22"/>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Caption w:val="headings"/>
      </w:tblPr>
      <w:tblGrid>
        <w:gridCol w:w="4926"/>
        <w:gridCol w:w="4927"/>
      </w:tblGrid>
      <w:tr w:rsidR="00DE2400" w:rsidTr="006C3942">
        <w:trPr>
          <w:trHeight w:val="1626"/>
        </w:trPr>
        <w:tc>
          <w:tcPr>
            <w:tcW w:w="4926" w:type="dxa"/>
          </w:tcPr>
          <w:p w:rsidR="006C3942" w:rsidRPr="001E6B93" w:rsidRDefault="006C3942" w:rsidP="006C3942">
            <w:pPr>
              <w:spacing w:before="0" w:line="276" w:lineRule="auto"/>
              <w:rPr>
                <w:sz w:val="20"/>
                <w:szCs w:val="20"/>
              </w:rPr>
            </w:pPr>
            <w:r w:rsidRPr="001E6B93">
              <w:rPr>
                <w:sz w:val="20"/>
                <w:szCs w:val="20"/>
              </w:rPr>
              <w:lastRenderedPageBreak/>
              <w:t>Opracowanie merytoryczne:</w:t>
            </w:r>
          </w:p>
          <w:p w:rsidR="006C3942" w:rsidRPr="001E6B93" w:rsidRDefault="006C3942" w:rsidP="006C3942">
            <w:pPr>
              <w:spacing w:before="0" w:line="276" w:lineRule="auto"/>
              <w:rPr>
                <w:b/>
                <w:sz w:val="20"/>
                <w:szCs w:val="20"/>
              </w:rPr>
            </w:pPr>
            <w:r w:rsidRPr="001E6B93">
              <w:rPr>
                <w:b/>
                <w:sz w:val="20"/>
                <w:szCs w:val="20"/>
              </w:rPr>
              <w:t>Urząd Statystyczny w Poznaniu</w:t>
            </w:r>
          </w:p>
          <w:p w:rsidR="006C3942" w:rsidRPr="001E6B93" w:rsidRDefault="006C3942" w:rsidP="006C3942">
            <w:pPr>
              <w:spacing w:before="0" w:after="0" w:line="276" w:lineRule="auto"/>
              <w:rPr>
                <w:b/>
                <w:sz w:val="20"/>
                <w:szCs w:val="20"/>
              </w:rPr>
            </w:pPr>
            <w:r w:rsidRPr="001E6B93">
              <w:rPr>
                <w:b/>
                <w:sz w:val="20"/>
                <w:szCs w:val="20"/>
              </w:rPr>
              <w:t>Dyrektor Jacek Kowalewski</w:t>
            </w:r>
          </w:p>
          <w:p w:rsidR="00DE2400" w:rsidRPr="006C3942" w:rsidRDefault="006C3942" w:rsidP="006C3942">
            <w:pPr>
              <w:rPr>
                <w:rFonts w:cs="Arial"/>
                <w:color w:val="000000" w:themeColor="text1"/>
                <w:lang w:val="fi-FI"/>
              </w:rPr>
            </w:pPr>
            <w:r w:rsidRPr="006C3942">
              <w:t>Tel.: 61 2798 266</w:t>
            </w:r>
          </w:p>
        </w:tc>
        <w:tc>
          <w:tcPr>
            <w:tcW w:w="4927" w:type="dxa"/>
          </w:tcPr>
          <w:p w:rsidR="006C3942" w:rsidRDefault="004617E4" w:rsidP="006C3942">
            <w:pPr>
              <w:spacing w:before="0" w:line="276" w:lineRule="auto"/>
              <w:rPr>
                <w:sz w:val="20"/>
                <w:szCs w:val="20"/>
              </w:rPr>
            </w:pPr>
            <w:r>
              <w:rPr>
                <w:sz w:val="20"/>
                <w:szCs w:val="20"/>
              </w:rPr>
              <w:t>Rozpowszechnianie:</w:t>
            </w:r>
          </w:p>
          <w:p w:rsidR="004617E4" w:rsidRDefault="004617E4" w:rsidP="004617E4">
            <w:pPr>
              <w:spacing w:before="0" w:line="276" w:lineRule="auto"/>
              <w:rPr>
                <w:b/>
                <w:sz w:val="20"/>
                <w:szCs w:val="20"/>
              </w:rPr>
            </w:pPr>
            <w:r>
              <w:rPr>
                <w:b/>
                <w:sz w:val="20"/>
                <w:szCs w:val="20"/>
              </w:rPr>
              <w:t>Wielkopolski Ośrodek Badań Regionalnych</w:t>
            </w:r>
          </w:p>
          <w:p w:rsidR="004617E4" w:rsidRDefault="004617E4" w:rsidP="004617E4">
            <w:pPr>
              <w:spacing w:before="0" w:after="0" w:line="276" w:lineRule="auto"/>
              <w:rPr>
                <w:b/>
                <w:sz w:val="20"/>
                <w:szCs w:val="20"/>
              </w:rPr>
            </w:pPr>
            <w:r>
              <w:rPr>
                <w:b/>
                <w:sz w:val="20"/>
                <w:szCs w:val="20"/>
              </w:rPr>
              <w:t>Wojewódzkie Informatorium Statystyczne</w:t>
            </w:r>
          </w:p>
          <w:p w:rsidR="00DE2400" w:rsidRDefault="004617E4" w:rsidP="004617E4">
            <w:pPr>
              <w:rPr>
                <w:sz w:val="18"/>
              </w:rPr>
            </w:pPr>
            <w:r>
              <w:t>Tel.: 61 2798 320, 61 2798 323</w:t>
            </w:r>
          </w:p>
        </w:tc>
      </w:tr>
      <w:tr w:rsidR="003E76F6" w:rsidTr="006C3942">
        <w:trPr>
          <w:trHeight w:val="418"/>
        </w:trPr>
        <w:tc>
          <w:tcPr>
            <w:tcW w:w="4926" w:type="dxa"/>
            <w:vMerge w:val="restart"/>
          </w:tcPr>
          <w:p w:rsidR="004617E4" w:rsidRDefault="004617E4" w:rsidP="004617E4">
            <w:pPr>
              <w:spacing w:before="0" w:after="0"/>
              <w:rPr>
                <w:sz w:val="20"/>
                <w:szCs w:val="20"/>
              </w:rPr>
            </w:pPr>
            <w:r>
              <w:rPr>
                <w:sz w:val="20"/>
                <w:szCs w:val="20"/>
              </w:rPr>
              <w:t xml:space="preserve">Współpraca z Mediami: </w:t>
            </w:r>
          </w:p>
          <w:p w:rsidR="004617E4" w:rsidRDefault="004617E4" w:rsidP="004617E4">
            <w:pPr>
              <w:rPr>
                <w:b/>
                <w:sz w:val="20"/>
                <w:szCs w:val="20"/>
              </w:rPr>
            </w:pPr>
            <w:r>
              <w:rPr>
                <w:rFonts w:cs="Arial"/>
                <w:b/>
                <w:sz w:val="20"/>
                <w:szCs w:val="20"/>
              </w:rPr>
              <w:t>Arleta Olbrot</w:t>
            </w:r>
            <w:r>
              <w:rPr>
                <w:rFonts w:cs="Arial"/>
                <w:b/>
                <w:sz w:val="20"/>
                <w:szCs w:val="20"/>
              </w:rPr>
              <w:br/>
            </w:r>
            <w:r>
              <w:rPr>
                <w:b/>
                <w:sz w:val="20"/>
                <w:szCs w:val="20"/>
              </w:rPr>
              <w:t>Wielkopolski Ośrodek Badań Regionalnych</w:t>
            </w:r>
          </w:p>
          <w:p w:rsidR="004617E4" w:rsidRDefault="004617E4" w:rsidP="004617E4">
            <w:pPr>
              <w:spacing w:before="0" w:after="0"/>
              <w:rPr>
                <w:rFonts w:cs="Arial"/>
                <w:sz w:val="20"/>
                <w:szCs w:val="20"/>
                <w:lang w:val="fi-FI"/>
              </w:rPr>
            </w:pPr>
            <w:r>
              <w:rPr>
                <w:rFonts w:cs="Arial"/>
                <w:sz w:val="20"/>
                <w:szCs w:val="20"/>
                <w:lang w:val="fi-FI"/>
              </w:rPr>
              <w:t>Tel.: 61 2798 345</w:t>
            </w:r>
          </w:p>
          <w:p w:rsidR="003E76F6" w:rsidRDefault="004617E4" w:rsidP="004617E4">
            <w:pPr>
              <w:rPr>
                <w:rStyle w:val="Hipercze"/>
                <w:rFonts w:cs="Arial"/>
                <w:b/>
                <w:color w:val="auto"/>
                <w:sz w:val="20"/>
                <w:szCs w:val="20"/>
                <w:lang w:val="en-GB"/>
              </w:rPr>
            </w:pPr>
            <w:r>
              <w:rPr>
                <w:rFonts w:cs="Arial"/>
                <w:b/>
                <w:sz w:val="20"/>
                <w:szCs w:val="20"/>
                <w:lang w:val="en-GB"/>
              </w:rPr>
              <w:t xml:space="preserve">e-mail: </w:t>
            </w:r>
            <w:hyperlink r:id="rId23" w:tgtFrame="none" w:history="1">
              <w:r w:rsidRPr="00280DA2">
                <w:rPr>
                  <w:rStyle w:val="Hipercze"/>
                  <w:rFonts w:cs="Arial"/>
                  <w:b/>
                  <w:color w:val="auto"/>
                  <w:sz w:val="20"/>
                  <w:szCs w:val="20"/>
                  <w:lang w:val="en-GB"/>
                </w:rPr>
                <w:t>a.olbrot@stat.gov.pl</w:t>
              </w:r>
            </w:hyperlink>
          </w:p>
          <w:p w:rsidR="004617E4" w:rsidRPr="00F05FC7" w:rsidRDefault="004617E4" w:rsidP="004617E4">
            <w:pPr>
              <w:rPr>
                <w:sz w:val="18"/>
                <w:lang w:val="en-US"/>
              </w:rPr>
            </w:pPr>
          </w:p>
        </w:tc>
        <w:tc>
          <w:tcPr>
            <w:tcW w:w="4927" w:type="dxa"/>
            <w:vAlign w:val="center"/>
          </w:tcPr>
          <w:p w:rsidR="003E76F6" w:rsidRDefault="003E76F6" w:rsidP="004617E4">
            <w:pPr>
              <w:ind w:firstLine="680"/>
              <w:rPr>
                <w:sz w:val="18"/>
              </w:rPr>
            </w:pPr>
            <w:r>
              <w:rPr>
                <w:noProof/>
                <w:sz w:val="20"/>
                <w:lang w:eastAsia="pl-PL"/>
              </w:rPr>
              <w:drawing>
                <wp:anchor distT="0" distB="0" distL="114300" distR="114300" simplePos="0" relativeHeight="251760640" behindDoc="0" locked="0" layoutInCell="1" allowOverlap="1" wp14:anchorId="20D7F32D" wp14:editId="1798C94F">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tooltip="link do strony internetowej US Poznań" w:history="1">
              <w:r w:rsidR="004617E4" w:rsidRPr="00280DA2">
                <w:rPr>
                  <w:rStyle w:val="Hipercze"/>
                  <w:color w:val="auto"/>
                  <w:sz w:val="20"/>
                </w:rPr>
                <w:t>poznan.stat.gov.pl</w:t>
              </w:r>
            </w:hyperlink>
          </w:p>
        </w:tc>
      </w:tr>
      <w:tr w:rsidR="003E76F6" w:rsidTr="006C3942">
        <w:trPr>
          <w:trHeight w:val="418"/>
        </w:trPr>
        <w:tc>
          <w:tcPr>
            <w:tcW w:w="4926" w:type="dxa"/>
            <w:vMerge/>
          </w:tcPr>
          <w:p w:rsidR="003E76F6" w:rsidRPr="00C91687" w:rsidRDefault="003E76F6" w:rsidP="003E76F6">
            <w:pPr>
              <w:rPr>
                <w:b/>
                <w:sz w:val="20"/>
              </w:rPr>
            </w:pPr>
          </w:p>
        </w:tc>
        <w:tc>
          <w:tcPr>
            <w:tcW w:w="4927" w:type="dxa"/>
            <w:vAlign w:val="center"/>
          </w:tcPr>
          <w:p w:rsidR="003E76F6" w:rsidRDefault="00F04394" w:rsidP="004617E4">
            <w:pPr>
              <w:ind w:firstLine="680"/>
              <w:rPr>
                <w:sz w:val="18"/>
              </w:rPr>
            </w:pPr>
            <w:hyperlink r:id="rId26" w:tooltip="link do twittera US Poznań" w:history="1">
              <w:r w:rsidR="004617E4" w:rsidRPr="00280DA2">
                <w:rPr>
                  <w:rStyle w:val="Hipercze"/>
                  <w:color w:val="auto"/>
                  <w:sz w:val="20"/>
                </w:rPr>
                <w:t>@Poznan_STAT</w:t>
              </w:r>
            </w:hyperlink>
            <w:r w:rsidR="003E76F6">
              <w:rPr>
                <w:noProof/>
                <w:sz w:val="20"/>
                <w:lang w:eastAsia="pl-PL"/>
              </w:rPr>
              <w:drawing>
                <wp:anchor distT="0" distB="0" distL="114300" distR="114300" simplePos="0" relativeHeight="251761664" behindDoc="0" locked="0" layoutInCell="1" allowOverlap="1" wp14:anchorId="5B6FABDF" wp14:editId="6621717C">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E76F6" w:rsidTr="006C3942">
        <w:trPr>
          <w:trHeight w:val="476"/>
        </w:trPr>
        <w:tc>
          <w:tcPr>
            <w:tcW w:w="4926" w:type="dxa"/>
            <w:vMerge/>
          </w:tcPr>
          <w:p w:rsidR="003E76F6" w:rsidRPr="00C91687" w:rsidRDefault="003E76F6" w:rsidP="003E76F6">
            <w:pPr>
              <w:rPr>
                <w:b/>
                <w:sz w:val="20"/>
              </w:rPr>
            </w:pPr>
          </w:p>
        </w:tc>
        <w:tc>
          <w:tcPr>
            <w:tcW w:w="4927" w:type="dxa"/>
          </w:tcPr>
          <w:p w:rsidR="003E76F6" w:rsidRDefault="004617E4" w:rsidP="004617E4">
            <w:pPr>
              <w:ind w:firstLine="680"/>
              <w:rPr>
                <w:sz w:val="18"/>
              </w:rPr>
            </w:pPr>
            <w:r w:rsidRPr="00280DA2">
              <w:rPr>
                <w:sz w:val="20"/>
              </w:rPr>
              <w:t>@</w:t>
            </w:r>
            <w:hyperlink r:id="rId28" w:tooltip="link do facebooka US Poznań" w:history="1">
              <w:r w:rsidRPr="00280DA2">
                <w:rPr>
                  <w:rStyle w:val="Hipercze"/>
                  <w:color w:val="auto"/>
                  <w:sz w:val="20"/>
                </w:rPr>
                <w:t>UrzadStatystycznywPoznaniu</w:t>
              </w:r>
            </w:hyperlink>
            <w:r w:rsidR="003E76F6">
              <w:rPr>
                <w:noProof/>
                <w:sz w:val="20"/>
                <w:lang w:eastAsia="pl-PL"/>
              </w:rPr>
              <w:drawing>
                <wp:anchor distT="0" distB="0" distL="114300" distR="114300" simplePos="0" relativeHeight="251762688" behindDoc="0" locked="0" layoutInCell="1" allowOverlap="1" wp14:anchorId="2C0B9C55" wp14:editId="54792D23">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6C3942">
        <w:trPr>
          <w:trHeight w:val="4114"/>
        </w:trPr>
        <w:tc>
          <w:tcPr>
            <w:tcW w:w="9853" w:type="dxa"/>
            <w:gridSpan w:val="2"/>
            <w:shd w:val="clear" w:color="auto" w:fill="D9D9D9" w:themeFill="background1" w:themeFillShade="D9"/>
          </w:tcPr>
          <w:p w:rsidR="00DE2400" w:rsidRPr="00876479" w:rsidRDefault="00DE2400" w:rsidP="00E26CA6">
            <w:pPr>
              <w:shd w:val="clear" w:color="auto" w:fill="D9D9D9" w:themeFill="background1" w:themeFillShade="D9"/>
              <w:rPr>
                <w:b/>
              </w:rPr>
            </w:pPr>
            <w:r w:rsidRPr="00210B1C">
              <w:rPr>
                <w:b/>
              </w:rPr>
              <w:t>Powiązane opracowania</w:t>
            </w:r>
          </w:p>
          <w:p w:rsidR="00094253" w:rsidRPr="000174DA" w:rsidRDefault="00F04394" w:rsidP="0077751F">
            <w:pPr>
              <w:rPr>
                <w:color w:val="001D77"/>
                <w:szCs w:val="24"/>
              </w:rPr>
            </w:pPr>
            <w:hyperlink r:id="rId30" w:tooltip="Link do opracowania pt. Narodowy Spis Powszechny Ludności i Mieszkań 2021. Metodologia i organizacja badania." w:history="1">
              <w:r w:rsidR="00094253" w:rsidRPr="000174DA">
                <w:rPr>
                  <w:rStyle w:val="Hipercze"/>
                  <w:rFonts w:cstheme="minorBidi"/>
                  <w:color w:val="001D77"/>
                  <w:szCs w:val="24"/>
                </w:rPr>
                <w:t>Narodowy Spis Powszechny Ludności i Mieszkań 2021. Metodologia i organizacja badania.</w:t>
              </w:r>
            </w:hyperlink>
          </w:p>
          <w:p w:rsidR="00094253" w:rsidRPr="000174DA" w:rsidRDefault="00F04394" w:rsidP="0077751F">
            <w:pPr>
              <w:rPr>
                <w:color w:val="001D77"/>
                <w:szCs w:val="24"/>
              </w:rPr>
            </w:pPr>
            <w:hyperlink r:id="rId31" w:tooltip="link do opracowania pt. Informacja o wynikach Narodowego Spisu Powszechnego Ludności i Mieszkań 2021 na poziomie województw, powiatów i gmin " w:history="1">
              <w:r w:rsidR="00094253" w:rsidRPr="000174DA">
                <w:rPr>
                  <w:rStyle w:val="Hipercze"/>
                  <w:rFonts w:cstheme="minorBidi"/>
                  <w:color w:val="001D77"/>
                  <w:szCs w:val="24"/>
                </w:rPr>
                <w:t>Informacja o wynikach Narodowego Spisu Powszechnego Ludności i Mieszkań 2021 na poziomie województw, powiatów i gmin</w:t>
              </w:r>
            </w:hyperlink>
            <w:r w:rsidR="00094253" w:rsidRPr="000174DA">
              <w:rPr>
                <w:color w:val="001D77"/>
                <w:szCs w:val="24"/>
              </w:rPr>
              <w:t xml:space="preserve"> </w:t>
            </w:r>
          </w:p>
          <w:p w:rsidR="00DE2400" w:rsidRPr="00694D63" w:rsidRDefault="00B16871" w:rsidP="00E26CA6">
            <w:pPr>
              <w:shd w:val="clear" w:color="auto" w:fill="D9D9D9" w:themeFill="background1" w:themeFillShade="D9"/>
              <w:spacing w:before="360"/>
              <w:rPr>
                <w:b/>
                <w:color w:val="000000" w:themeColor="text1"/>
                <w:szCs w:val="24"/>
              </w:rPr>
            </w:pPr>
            <w:r>
              <w:rPr>
                <w:b/>
                <w:color w:val="000000" w:themeColor="text1"/>
                <w:szCs w:val="24"/>
              </w:rPr>
              <w:t>Temat dostępny w bazach danych</w:t>
            </w:r>
          </w:p>
          <w:p w:rsidR="0077751F" w:rsidRDefault="0077751F" w:rsidP="00B16871">
            <w:r w:rsidRPr="005F27EC">
              <w:t xml:space="preserve">Bank Danych Lokalnych – </w:t>
            </w:r>
            <w:r>
              <w:t xml:space="preserve">Narodowe </w:t>
            </w:r>
            <w:r w:rsidRPr="00670DCC">
              <w:t xml:space="preserve">Spisy </w:t>
            </w:r>
            <w:r>
              <w:t xml:space="preserve">Powszechne </w:t>
            </w:r>
            <w:r w:rsidRPr="00670DCC">
              <w:t xml:space="preserve">– </w:t>
            </w:r>
            <w:r>
              <w:t>NSP 2021 – LUDNOŚĆ, NSP 2021 – MIESZKANIA</w:t>
            </w:r>
          </w:p>
          <w:p w:rsidR="0077751F" w:rsidRPr="006101F3" w:rsidRDefault="00F04394" w:rsidP="00B16871">
            <w:pPr>
              <w:rPr>
                <w:rFonts w:cs="Times New Roman"/>
                <w:color w:val="001D77"/>
              </w:rPr>
            </w:pPr>
            <w:hyperlink r:id="rId32" w:tooltip="Link do bazy BDL" w:history="1">
              <w:r w:rsidR="00094253" w:rsidRPr="006101F3">
                <w:rPr>
                  <w:rStyle w:val="Hipercze"/>
                  <w:color w:val="001D77"/>
                </w:rPr>
                <w:t>Bank Danych Lokalnych</w:t>
              </w:r>
            </w:hyperlink>
          </w:p>
          <w:p w:rsidR="00B16871" w:rsidRPr="00694D63" w:rsidRDefault="00B16871" w:rsidP="00B16871">
            <w:pPr>
              <w:shd w:val="clear" w:color="auto" w:fill="D9D9D9" w:themeFill="background1" w:themeFillShade="D9"/>
              <w:spacing w:before="360"/>
              <w:rPr>
                <w:b/>
                <w:color w:val="000000" w:themeColor="text1"/>
                <w:szCs w:val="24"/>
              </w:rPr>
            </w:pPr>
            <w:r w:rsidRPr="00694D63">
              <w:rPr>
                <w:b/>
                <w:color w:val="000000" w:themeColor="text1"/>
                <w:szCs w:val="24"/>
              </w:rPr>
              <w:t>Ważniejsze pojęcia dostępne w słowniku</w:t>
            </w:r>
          </w:p>
          <w:p w:rsidR="00DE2400" w:rsidRPr="006101F3" w:rsidRDefault="00F04394" w:rsidP="00E26CA6">
            <w:pPr>
              <w:rPr>
                <w:color w:val="001D77"/>
              </w:rPr>
            </w:pPr>
            <w:hyperlink r:id="rId33" w:tooltip="Link do słownika pojęc - Ludność" w:history="1">
              <w:r w:rsidR="0025092A" w:rsidRPr="006101F3">
                <w:rPr>
                  <w:rStyle w:val="Hipercze"/>
                  <w:rFonts w:cstheme="minorBidi"/>
                  <w:color w:val="001D77"/>
                </w:rPr>
                <w:t>Ludność</w:t>
              </w:r>
            </w:hyperlink>
          </w:p>
          <w:p w:rsidR="0025092A" w:rsidRPr="006101F3" w:rsidRDefault="00F04394" w:rsidP="00E26CA6">
            <w:pPr>
              <w:rPr>
                <w:color w:val="001D77"/>
              </w:rPr>
            </w:pPr>
            <w:hyperlink r:id="rId34" w:tooltip="Link do słownika pojęć - Mieszkanie" w:history="1">
              <w:r w:rsidR="0025092A" w:rsidRPr="006101F3">
                <w:rPr>
                  <w:rStyle w:val="Hipercze"/>
                  <w:rFonts w:cstheme="minorBidi"/>
                  <w:color w:val="001D77"/>
                </w:rPr>
                <w:t>Mieszkanie</w:t>
              </w:r>
            </w:hyperlink>
          </w:p>
          <w:p w:rsidR="00DE2400" w:rsidRPr="00094253" w:rsidRDefault="00F04394" w:rsidP="0025092A">
            <w:hyperlink r:id="rId35" w:tooltip="Link do słownika pojęć - Budynek" w:history="1">
              <w:r w:rsidR="0025092A" w:rsidRPr="006101F3">
                <w:rPr>
                  <w:rStyle w:val="Hipercze"/>
                  <w:rFonts w:cstheme="minorBidi"/>
                  <w:color w:val="001D77"/>
                </w:rPr>
                <w:t>Budynek</w:t>
              </w:r>
            </w:hyperlink>
          </w:p>
        </w:tc>
      </w:tr>
    </w:tbl>
    <w:p w:rsidR="000470AA" w:rsidRDefault="000470AA" w:rsidP="000470AA">
      <w:pPr>
        <w:rPr>
          <w:sz w:val="18"/>
        </w:rPr>
      </w:pPr>
    </w:p>
    <w:sectPr w:rsidR="000470AA" w:rsidSect="003B18B6">
      <w:headerReference w:type="default" r:id="rId36"/>
      <w:footerReference w:type="default" r:id="rId3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CA6" w:rsidRDefault="00E26CA6" w:rsidP="000662E2">
      <w:pPr>
        <w:spacing w:after="0" w:line="240" w:lineRule="auto"/>
      </w:pPr>
      <w:r>
        <w:separator/>
      </w:r>
    </w:p>
  </w:endnote>
  <w:endnote w:type="continuationSeparator" w:id="0">
    <w:p w:rsidR="00E26CA6" w:rsidRDefault="00E26CA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B48B32E2-9C59-4B34-938D-3E410E75C01B}"/>
    <w:embedBold r:id="rId2" w:fontKey="{D0591578-EE72-4A1D-B54C-D1F04FE75DE2}"/>
    <w:embedItalic r:id="rId3" w:fontKey="{725DB71F-19E2-416E-BE5B-12F0C75F1DC5}"/>
  </w:font>
  <w:font w:name="Fira Sans Light">
    <w:panose1 w:val="020B0403050000020004"/>
    <w:charset w:val="EE"/>
    <w:family w:val="swiss"/>
    <w:pitch w:val="variable"/>
    <w:sig w:usb0="600002FF" w:usb1="02000001" w:usb2="00000000" w:usb3="00000000" w:csb0="0000019F" w:csb1="00000000"/>
    <w:embedRegular r:id="rId4" w:fontKey="{13D39777-6FC7-435D-8E1E-25710B77A68B}"/>
    <w:embedBold r:id="rId5" w:fontKey="{F5957720-77CE-4B86-9498-4BC29DCD9838}"/>
    <w:embedItalic r:id="rId6" w:fontKey="{B619A3CF-C3EE-4291-B025-D43A9E85100C}"/>
  </w:font>
  <w:font w:name="Fira Sans SemiBold">
    <w:panose1 w:val="020B0603050000020004"/>
    <w:charset w:val="EE"/>
    <w:family w:val="swiss"/>
    <w:pitch w:val="variable"/>
    <w:sig w:usb0="600002FF" w:usb1="02000001" w:usb2="00000000" w:usb3="00000000" w:csb0="0000019F" w:csb1="00000000"/>
    <w:embedRegular r:id="rId7" w:fontKey="{965FD372-0DBE-4969-A676-B51AE2BA72D1}"/>
    <w:embedBold r:id="rId8" w:fontKey="{389EB61E-31C4-46D7-B562-262A1C874393}"/>
  </w:font>
  <w:font w:name="Fira Sans Medium">
    <w:panose1 w:val="020B0603050000020004"/>
    <w:charset w:val="EE"/>
    <w:family w:val="swiss"/>
    <w:pitch w:val="variable"/>
    <w:sig w:usb0="600002FF" w:usb1="02000001" w:usb2="00000000" w:usb3="00000000" w:csb0="0000019F" w:csb1="00000000"/>
    <w:embedRegular r:id="rId9" w:fontKey="{B8B72AB2-8C15-4642-A1BA-6003429B384E}"/>
    <w:embedBold r:id="rId10" w:fontKey="{75A2E38D-9D45-41F9-A086-6049518CE7CC}"/>
    <w:embedItalic r:id="rId11" w:fontKey="{86CE9F57-2775-48BA-B76A-627523468D5C}"/>
  </w:font>
  <w:font w:name="Segoe UI">
    <w:panose1 w:val="020B0502040204020203"/>
    <w:charset w:val="EE"/>
    <w:family w:val="swiss"/>
    <w:pitch w:val="variable"/>
    <w:sig w:usb0="E4002EFF" w:usb1="C000E47F" w:usb2="00000009" w:usb3="00000000" w:csb0="000001FF" w:csb1="00000000"/>
    <w:embedRegular r:id="rId12" w:fontKey="{9AFEEBE2-E117-4E5A-9C35-436E28AA7297}"/>
  </w:font>
  <w:font w:name="Fira Sans Extra Condensed SemiB">
    <w:panose1 w:val="020B0603050000020004"/>
    <w:charset w:val="EE"/>
    <w:family w:val="swiss"/>
    <w:pitch w:val="variable"/>
    <w:sig w:usb0="600002FF" w:usb1="00000001" w:usb2="00000000" w:usb3="00000000" w:csb0="0000019F" w:csb1="00000000"/>
    <w:embedRegular r:id="rId13" w:fontKey="{6F74B535-9CBF-4F38-A41B-EB3548491473}"/>
  </w:font>
  <w:font w:name="Calibri">
    <w:panose1 w:val="020F0502020204030204"/>
    <w:charset w:val="EE"/>
    <w:family w:val="swiss"/>
    <w:pitch w:val="variable"/>
    <w:sig w:usb0="E4002EFF" w:usb1="C000247B" w:usb2="00000009" w:usb3="00000000" w:csb0="000001FF" w:csb1="00000000"/>
    <w:embedRegular r:id="rId14" w:fontKey="{8A7942D8-FEAB-41DA-AF51-E87CD02EAFB9}"/>
  </w:font>
  <w:font w:name="Consolas">
    <w:panose1 w:val="020B0609020204030204"/>
    <w:charset w:val="EE"/>
    <w:family w:val="modern"/>
    <w:pitch w:val="fixed"/>
    <w:sig w:usb0="E00006FF" w:usb1="0000FCFF" w:usb2="00000001" w:usb3="00000000" w:csb0="0000019F" w:csb1="00000000"/>
    <w:embedRegular r:id="rId15" w:fontKey="{84304287-F272-4D3D-99EA-0162E51766D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E26CA6" w:rsidRDefault="00E26CA6" w:rsidP="003B18B6">
        <w:pPr>
          <w:pStyle w:val="Stopka"/>
          <w:jc w:val="center"/>
        </w:pPr>
        <w:r>
          <w:fldChar w:fldCharType="begin"/>
        </w:r>
        <w:r>
          <w:instrText>PAGE   \* MERGEFORMAT</w:instrText>
        </w:r>
        <w:r>
          <w:fldChar w:fldCharType="separate"/>
        </w:r>
        <w:r w:rsidR="00F04394">
          <w:rPr>
            <w:noProof/>
          </w:rPr>
          <w:t>10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E26CA6" w:rsidRDefault="00E26CA6" w:rsidP="003B18B6">
        <w:pPr>
          <w:pStyle w:val="Stopka"/>
          <w:jc w:val="center"/>
        </w:pPr>
        <w:r>
          <w:fldChar w:fldCharType="begin"/>
        </w:r>
        <w:r>
          <w:instrText>PAGE   \* MERGEFORMAT</w:instrText>
        </w:r>
        <w:r>
          <w:fldChar w:fldCharType="separate"/>
        </w:r>
        <w:r w:rsidR="00F04394">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E26CA6" w:rsidRDefault="00E26CA6" w:rsidP="003B18B6">
        <w:pPr>
          <w:pStyle w:val="Stopka"/>
          <w:jc w:val="center"/>
        </w:pPr>
        <w:r>
          <w:fldChar w:fldCharType="begin"/>
        </w:r>
        <w:r>
          <w:instrText>PAGE   \* MERGEFORMAT</w:instrText>
        </w:r>
        <w:r>
          <w:fldChar w:fldCharType="separate"/>
        </w:r>
        <w:r w:rsidR="00F04394">
          <w:rPr>
            <w:noProof/>
          </w:rPr>
          <w:t>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CA6" w:rsidRDefault="00E26CA6" w:rsidP="000662E2">
      <w:pPr>
        <w:spacing w:after="0" w:line="240" w:lineRule="auto"/>
      </w:pPr>
      <w:r>
        <w:separator/>
      </w:r>
    </w:p>
  </w:footnote>
  <w:footnote w:type="continuationSeparator" w:id="0">
    <w:p w:rsidR="00E26CA6" w:rsidRDefault="00E26CA6"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CA6" w:rsidRDefault="00E26CA6">
    <w:pPr>
      <w:pStyle w:val="Nagwek"/>
    </w:pPr>
    <w:r>
      <w:rPr>
        <w:noProof/>
        <w:lang w:eastAsia="pl-PL"/>
      </w:rPr>
      <mc:AlternateContent>
        <mc:Choice Requires="wps">
          <w:drawing>
            <wp:anchor distT="0" distB="0" distL="114300" distR="114300" simplePos="0" relativeHeight="251673600" behindDoc="1" locked="0" layoutInCell="1" allowOverlap="1" wp14:anchorId="0BB07995" wp14:editId="0C3503F3">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15EEB6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E26CA6" w:rsidRDefault="00E26CA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CA6" w:rsidRDefault="00CF5D3F">
    <w:pPr>
      <w:pStyle w:val="Nagwek"/>
      <w:rPr>
        <w:noProof/>
        <w:lang w:eastAsia="pl-PL"/>
      </w:rPr>
    </w:pPr>
    <w:r>
      <w:rPr>
        <w:noProof/>
        <w:lang w:eastAsia="pl-PL"/>
      </w:rPr>
      <w:drawing>
        <wp:anchor distT="0" distB="0" distL="114300" distR="114300" simplePos="0" relativeHeight="251675648" behindDoc="0" locked="0" layoutInCell="1" allowOverlap="1" wp14:anchorId="548B3B01" wp14:editId="7C637DF6">
          <wp:simplePos x="0" y="0"/>
          <wp:positionH relativeFrom="column">
            <wp:posOffset>3310255</wp:posOffset>
          </wp:positionH>
          <wp:positionV relativeFrom="paragraph">
            <wp:posOffset>186863</wp:posOffset>
          </wp:positionV>
          <wp:extent cx="1313815" cy="431800"/>
          <wp:effectExtent l="0" t="0" r="635" b="6350"/>
          <wp:wrapSquare wrapText="bothSides"/>
          <wp:docPr id="31" name="Obraz 31" descr="Logo Urzędu Statystycznego w 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431800"/>
                  </a:xfrm>
                  <a:prstGeom prst="rect">
                    <a:avLst/>
                  </a:prstGeom>
                  <a:noFill/>
                </pic:spPr>
              </pic:pic>
            </a:graphicData>
          </a:graphic>
          <wp14:sizeRelH relativeFrom="margin">
            <wp14:pctWidth>0</wp14:pctWidth>
          </wp14:sizeRelH>
          <wp14:sizeRelV relativeFrom="margin">
            <wp14:pctHeight>0</wp14:pctHeight>
          </wp14:sizeRelV>
        </wp:anchor>
      </w:drawing>
    </w:r>
    <w:r>
      <w:rPr>
        <w:noProof/>
        <w:shd w:val="clear" w:color="auto" w:fill="FFFFFF"/>
        <w:lang w:eastAsia="pl-PL"/>
      </w:rPr>
      <w:drawing>
        <wp:anchor distT="0" distB="0" distL="114300" distR="114300" simplePos="0" relativeHeight="251677696" behindDoc="0" locked="0" layoutInCell="1" allowOverlap="1" wp14:anchorId="07E72497" wp14:editId="49737764">
          <wp:simplePos x="0" y="0"/>
          <wp:positionH relativeFrom="column">
            <wp:posOffset>0</wp:posOffset>
          </wp:positionH>
          <wp:positionV relativeFrom="paragraph">
            <wp:posOffset>215265</wp:posOffset>
          </wp:positionV>
          <wp:extent cx="2865762" cy="432000"/>
          <wp:effectExtent l="0" t="0" r="0" b="6350"/>
          <wp:wrapSquare wrapText="bothSides"/>
          <wp:docPr id="19" name="Obraz 19" descr="Logo Głównego Urzędu Statystycznego i logo Narodowego Spisu Powszechnego Ludności i Mieszkań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2" cstate="print">
                    <a:extLst>
                      <a:ext uri="{28A0092B-C50C-407E-A947-70E740481C1C}">
                        <a14:useLocalDpi xmlns:a14="http://schemas.microsoft.com/office/drawing/2010/main" val="0"/>
                      </a:ext>
                    </a:extLst>
                  </a:blip>
                  <a:srcRect l="4276" t="19342" r="4183" b="19726"/>
                  <a:stretch/>
                </pic:blipFill>
                <pic:spPr bwMode="auto">
                  <a:xfrm>
                    <a:off x="0" y="0"/>
                    <a:ext cx="2865762" cy="432000"/>
                  </a:xfrm>
                  <a:prstGeom prst="rect">
                    <a:avLst/>
                  </a:prstGeom>
                  <a:ln>
                    <a:noFill/>
                  </a:ln>
                  <a:extLst>
                    <a:ext uri="{53640926-AAD7-44D8-BBD7-CCE9431645EC}">
                      <a14:shadowObscured xmlns:a14="http://schemas.microsoft.com/office/drawing/2010/main"/>
                    </a:ext>
                  </a:extLst>
                </pic:spPr>
              </pic:pic>
            </a:graphicData>
          </a:graphic>
        </wp:anchor>
      </w:drawing>
    </w:r>
    <w:r w:rsidR="00E26CA6" w:rsidRPr="00F37172">
      <w:rPr>
        <w:noProof/>
        <w:lang w:eastAsia="pl-PL"/>
      </w:rPr>
      <mc:AlternateContent>
        <mc:Choice Requires="wps">
          <w:drawing>
            <wp:anchor distT="0" distB="0" distL="114300" distR="114300" simplePos="0" relativeHeight="251668480" behindDoc="0" locked="0" layoutInCell="1" allowOverlap="1" wp14:anchorId="68E54B4E" wp14:editId="3F86DADC">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6CA6" w:rsidRPr="003C6C8D" w:rsidRDefault="00E26CA6"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54B4E" id="Schemat blokowy: opóźnienie 6" o:spid="_x0000_s1036" alt="Napis &quot;Informacja sygnalna&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E26CA6" w:rsidRPr="003C6C8D" w:rsidRDefault="00E26CA6"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E26CA6">
      <w:rPr>
        <w:noProof/>
        <w:lang w:eastAsia="pl-PL"/>
      </w:rPr>
      <mc:AlternateContent>
        <mc:Choice Requires="wps">
          <w:drawing>
            <wp:anchor distT="0" distB="0" distL="114300" distR="114300" simplePos="0" relativeHeight="251666432" behindDoc="1" locked="0" layoutInCell="1" allowOverlap="1" wp14:anchorId="3386F680" wp14:editId="5BAB5867">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D015E29"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26CA6">
      <w:rPr>
        <w:noProof/>
        <w:lang w:eastAsia="pl-PL"/>
      </w:rPr>
      <w:t xml:space="preserve"> </w:t>
    </w:r>
    <w:r w:rsidR="00E26CA6" w:rsidRPr="00540C5C">
      <w:rPr>
        <w:noProof/>
      </w:rPr>
      <w:t xml:space="preserve"> </w:t>
    </w:r>
  </w:p>
  <w:p w:rsidR="00E26CA6" w:rsidRDefault="00E26CA6">
    <w:pPr>
      <w:pStyle w:val="Nagwek"/>
      <w:rPr>
        <w:noProof/>
        <w:lang w:eastAsia="pl-PL"/>
      </w:rPr>
    </w:pPr>
  </w:p>
  <w:p w:rsidR="000A6803" w:rsidRDefault="000A6803">
    <w:pPr>
      <w:pStyle w:val="Nagwek"/>
      <w:rPr>
        <w:noProof/>
        <w:lang w:eastAsia="pl-PL"/>
      </w:rPr>
    </w:pPr>
  </w:p>
  <w:p w:rsidR="00E26CA6" w:rsidRDefault="00E26CA6">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2606FAF4" wp14:editId="74D61A02">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E26CA6" w:rsidRPr="00A01B40" w:rsidRDefault="00E26CA6" w:rsidP="00F049AB">
                          <w:pPr>
                            <w:pStyle w:val="Datainformacjisygnalnej"/>
                          </w:pPr>
                          <w:r>
                            <w:t>27.09.2022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06FAF4" id="_x0000_t202" coordsize="21600,21600" o:spt="202" path="m,l,21600r21600,l21600,xe">
              <v:stroke joinstyle="miter"/>
              <v:path gradientshapeok="t" o:connecttype="rect"/>
            </v:shapetype>
            <v:shape id="_x0000_s1037" type="#_x0000_t202" alt="Data publikacji informacji sygnalnej"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" filled="f" stroked="f">
              <v:textbox>
                <w:txbxContent>
                  <w:p w:rsidR="00E26CA6" w:rsidRPr="00A01B40" w:rsidRDefault="00E26CA6" w:rsidP="00F049AB">
                    <w:pPr>
                      <w:pStyle w:val="Datainformacjisygnalnej"/>
                    </w:pPr>
                    <w:r>
                      <w:t>27.09.2022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CA6" w:rsidRDefault="00E26CA6">
    <w:pPr>
      <w:pStyle w:val="Nagwek"/>
    </w:pPr>
  </w:p>
  <w:p w:rsidR="00E26CA6" w:rsidRDefault="00E26CA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6644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45pt;height:124.85pt;visibility:visible;mso-wrap-style:square" o:bullet="t">
        <v:imagedata r:id="rId1" o:title=""/>
      </v:shape>
    </w:pict>
  </w:numPicBullet>
  <w:numPicBullet w:numPicBulletId="1">
    <w:pict>
      <v:shape id="_x0000_i1027" type="#_x0000_t75" style="width:123.9pt;height:124.85pt;visibility:visible;mso-wrap-style:square" o:bullet="t">
        <v:imagedata r:id="rId2" o:title=""/>
      </v:shape>
    </w:pict>
  </w:numPicBullet>
  <w:abstractNum w:abstractNumId="0" w15:restartNumberingAfterBreak="0">
    <w:nsid w:val="FFFFFF7C"/>
    <w:multiLevelType w:val="singleLevel"/>
    <w:tmpl w:val="CC7C6120"/>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0F849D56"/>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2F2E52F4"/>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C430D71E"/>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C4C8A4A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161A3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129DA0"/>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1206A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A8EFBC"/>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8556BB3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14"/>
  </w:num>
  <w:num w:numId="2">
    <w:abstractNumId w:val="11"/>
  </w:num>
  <w:num w:numId="3">
    <w:abstractNumId w:val="12"/>
  </w:num>
  <w:num w:numId="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5EE7"/>
    <w:rsid w:val="0000709F"/>
    <w:rsid w:val="000108B8"/>
    <w:rsid w:val="00012BC3"/>
    <w:rsid w:val="000152F5"/>
    <w:rsid w:val="000174DA"/>
    <w:rsid w:val="0002266F"/>
    <w:rsid w:val="0003044B"/>
    <w:rsid w:val="00036CA1"/>
    <w:rsid w:val="00037378"/>
    <w:rsid w:val="00040BB7"/>
    <w:rsid w:val="00044257"/>
    <w:rsid w:val="0004582E"/>
    <w:rsid w:val="000470AA"/>
    <w:rsid w:val="000476CB"/>
    <w:rsid w:val="00047C3A"/>
    <w:rsid w:val="0005491A"/>
    <w:rsid w:val="000571E8"/>
    <w:rsid w:val="00057CA1"/>
    <w:rsid w:val="000638DE"/>
    <w:rsid w:val="000647A9"/>
    <w:rsid w:val="000662E2"/>
    <w:rsid w:val="00066883"/>
    <w:rsid w:val="000679CD"/>
    <w:rsid w:val="00071B39"/>
    <w:rsid w:val="00073CA4"/>
    <w:rsid w:val="00074DD8"/>
    <w:rsid w:val="00075759"/>
    <w:rsid w:val="000806F7"/>
    <w:rsid w:val="00081794"/>
    <w:rsid w:val="00084976"/>
    <w:rsid w:val="000863EB"/>
    <w:rsid w:val="00092305"/>
    <w:rsid w:val="00094253"/>
    <w:rsid w:val="00097840"/>
    <w:rsid w:val="000A5604"/>
    <w:rsid w:val="000A6803"/>
    <w:rsid w:val="000A6B35"/>
    <w:rsid w:val="000B0727"/>
    <w:rsid w:val="000B08E3"/>
    <w:rsid w:val="000B1077"/>
    <w:rsid w:val="000C135D"/>
    <w:rsid w:val="000D11F6"/>
    <w:rsid w:val="000D1D43"/>
    <w:rsid w:val="000D225C"/>
    <w:rsid w:val="000D2A5C"/>
    <w:rsid w:val="000D39F0"/>
    <w:rsid w:val="000D5D87"/>
    <w:rsid w:val="000D5E60"/>
    <w:rsid w:val="000E0918"/>
    <w:rsid w:val="000E7988"/>
    <w:rsid w:val="000E79A9"/>
    <w:rsid w:val="000F26D1"/>
    <w:rsid w:val="000F5EBB"/>
    <w:rsid w:val="001011C3"/>
    <w:rsid w:val="00103AEC"/>
    <w:rsid w:val="00106DA3"/>
    <w:rsid w:val="001078A4"/>
    <w:rsid w:val="00110214"/>
    <w:rsid w:val="00110D87"/>
    <w:rsid w:val="00112399"/>
    <w:rsid w:val="00114DB9"/>
    <w:rsid w:val="00116087"/>
    <w:rsid w:val="00117711"/>
    <w:rsid w:val="0012126C"/>
    <w:rsid w:val="00122F54"/>
    <w:rsid w:val="00125ED3"/>
    <w:rsid w:val="00126F78"/>
    <w:rsid w:val="00130296"/>
    <w:rsid w:val="00130A37"/>
    <w:rsid w:val="00134145"/>
    <w:rsid w:val="00136736"/>
    <w:rsid w:val="00136D67"/>
    <w:rsid w:val="001411F0"/>
    <w:rsid w:val="001423B6"/>
    <w:rsid w:val="001448A7"/>
    <w:rsid w:val="00146621"/>
    <w:rsid w:val="0015461A"/>
    <w:rsid w:val="001617E3"/>
    <w:rsid w:val="00162325"/>
    <w:rsid w:val="0016411C"/>
    <w:rsid w:val="00175449"/>
    <w:rsid w:val="0018536A"/>
    <w:rsid w:val="0019347B"/>
    <w:rsid w:val="001951DA"/>
    <w:rsid w:val="001A069B"/>
    <w:rsid w:val="001B053D"/>
    <w:rsid w:val="001B79FF"/>
    <w:rsid w:val="001B7D71"/>
    <w:rsid w:val="001C3269"/>
    <w:rsid w:val="001C612A"/>
    <w:rsid w:val="001D19B6"/>
    <w:rsid w:val="001D1DB4"/>
    <w:rsid w:val="001D23F1"/>
    <w:rsid w:val="001D25F9"/>
    <w:rsid w:val="001D61ED"/>
    <w:rsid w:val="001E0D20"/>
    <w:rsid w:val="001E50C2"/>
    <w:rsid w:val="001E5B2D"/>
    <w:rsid w:val="001E6831"/>
    <w:rsid w:val="0020156C"/>
    <w:rsid w:val="0020282A"/>
    <w:rsid w:val="00206212"/>
    <w:rsid w:val="00212BE5"/>
    <w:rsid w:val="00216634"/>
    <w:rsid w:val="00225393"/>
    <w:rsid w:val="00231107"/>
    <w:rsid w:val="002328F4"/>
    <w:rsid w:val="00242806"/>
    <w:rsid w:val="00242D31"/>
    <w:rsid w:val="00243323"/>
    <w:rsid w:val="00243772"/>
    <w:rsid w:val="00245B09"/>
    <w:rsid w:val="0025092A"/>
    <w:rsid w:val="00254074"/>
    <w:rsid w:val="0025481E"/>
    <w:rsid w:val="002574F9"/>
    <w:rsid w:val="00262B61"/>
    <w:rsid w:val="00262CC6"/>
    <w:rsid w:val="00263E08"/>
    <w:rsid w:val="00264341"/>
    <w:rsid w:val="00272AF5"/>
    <w:rsid w:val="002761C0"/>
    <w:rsid w:val="00276811"/>
    <w:rsid w:val="00276C20"/>
    <w:rsid w:val="00282699"/>
    <w:rsid w:val="0029064E"/>
    <w:rsid w:val="002926DF"/>
    <w:rsid w:val="00296697"/>
    <w:rsid w:val="002A0337"/>
    <w:rsid w:val="002A2E23"/>
    <w:rsid w:val="002A4EA8"/>
    <w:rsid w:val="002A5354"/>
    <w:rsid w:val="002B0472"/>
    <w:rsid w:val="002B5783"/>
    <w:rsid w:val="002B67EC"/>
    <w:rsid w:val="002B6B12"/>
    <w:rsid w:val="002C21F0"/>
    <w:rsid w:val="002C4390"/>
    <w:rsid w:val="002C5DDF"/>
    <w:rsid w:val="002D01DF"/>
    <w:rsid w:val="002D6255"/>
    <w:rsid w:val="002E3EB3"/>
    <w:rsid w:val="002E6140"/>
    <w:rsid w:val="002E6985"/>
    <w:rsid w:val="002E71B6"/>
    <w:rsid w:val="002F35F6"/>
    <w:rsid w:val="002F77C8"/>
    <w:rsid w:val="00304F22"/>
    <w:rsid w:val="00306C7C"/>
    <w:rsid w:val="0030759B"/>
    <w:rsid w:val="003144AC"/>
    <w:rsid w:val="00314F86"/>
    <w:rsid w:val="00315C9A"/>
    <w:rsid w:val="00316A57"/>
    <w:rsid w:val="00317112"/>
    <w:rsid w:val="00317F4D"/>
    <w:rsid w:val="00322EDD"/>
    <w:rsid w:val="003309FA"/>
    <w:rsid w:val="00332320"/>
    <w:rsid w:val="00336B64"/>
    <w:rsid w:val="00344B1C"/>
    <w:rsid w:val="003472D4"/>
    <w:rsid w:val="00347D72"/>
    <w:rsid w:val="00347DFA"/>
    <w:rsid w:val="003508CA"/>
    <w:rsid w:val="003532B4"/>
    <w:rsid w:val="00353F45"/>
    <w:rsid w:val="00357611"/>
    <w:rsid w:val="0036432A"/>
    <w:rsid w:val="00364AF9"/>
    <w:rsid w:val="00367237"/>
    <w:rsid w:val="003676AB"/>
    <w:rsid w:val="0037077F"/>
    <w:rsid w:val="00372411"/>
    <w:rsid w:val="00373882"/>
    <w:rsid w:val="003777D8"/>
    <w:rsid w:val="0038427A"/>
    <w:rsid w:val="003843DB"/>
    <w:rsid w:val="00393761"/>
    <w:rsid w:val="00394E26"/>
    <w:rsid w:val="00396691"/>
    <w:rsid w:val="00397D18"/>
    <w:rsid w:val="003A1B36"/>
    <w:rsid w:val="003A4EE5"/>
    <w:rsid w:val="003B1454"/>
    <w:rsid w:val="003B18B6"/>
    <w:rsid w:val="003B6F90"/>
    <w:rsid w:val="003C01BA"/>
    <w:rsid w:val="003C161B"/>
    <w:rsid w:val="003C59E0"/>
    <w:rsid w:val="003C6C8D"/>
    <w:rsid w:val="003D2656"/>
    <w:rsid w:val="003D386A"/>
    <w:rsid w:val="003D3BF7"/>
    <w:rsid w:val="003D4F95"/>
    <w:rsid w:val="003D58E8"/>
    <w:rsid w:val="003D5F42"/>
    <w:rsid w:val="003D60A9"/>
    <w:rsid w:val="003E505B"/>
    <w:rsid w:val="003E76F6"/>
    <w:rsid w:val="003F4C97"/>
    <w:rsid w:val="003F666D"/>
    <w:rsid w:val="003F7FE6"/>
    <w:rsid w:val="00400193"/>
    <w:rsid w:val="004021EA"/>
    <w:rsid w:val="00403970"/>
    <w:rsid w:val="00416EAF"/>
    <w:rsid w:val="004212E7"/>
    <w:rsid w:val="00423C88"/>
    <w:rsid w:val="0042446D"/>
    <w:rsid w:val="00427BF8"/>
    <w:rsid w:val="00431C02"/>
    <w:rsid w:val="00437395"/>
    <w:rsid w:val="004414F9"/>
    <w:rsid w:val="00445047"/>
    <w:rsid w:val="0044641D"/>
    <w:rsid w:val="00446749"/>
    <w:rsid w:val="00451F36"/>
    <w:rsid w:val="00453EB7"/>
    <w:rsid w:val="00457427"/>
    <w:rsid w:val="00457901"/>
    <w:rsid w:val="004617E4"/>
    <w:rsid w:val="00462A8A"/>
    <w:rsid w:val="00463E39"/>
    <w:rsid w:val="004656BF"/>
    <w:rsid w:val="004657FC"/>
    <w:rsid w:val="00470D44"/>
    <w:rsid w:val="004733F6"/>
    <w:rsid w:val="00474E69"/>
    <w:rsid w:val="00480BE3"/>
    <w:rsid w:val="00483E9F"/>
    <w:rsid w:val="00485A2C"/>
    <w:rsid w:val="004861B3"/>
    <w:rsid w:val="0049621B"/>
    <w:rsid w:val="004A1D19"/>
    <w:rsid w:val="004A4EAD"/>
    <w:rsid w:val="004A6296"/>
    <w:rsid w:val="004B64F6"/>
    <w:rsid w:val="004C1895"/>
    <w:rsid w:val="004C29C2"/>
    <w:rsid w:val="004C54DB"/>
    <w:rsid w:val="004C6D40"/>
    <w:rsid w:val="004D13D1"/>
    <w:rsid w:val="004E2214"/>
    <w:rsid w:val="004E576C"/>
    <w:rsid w:val="004E6AA8"/>
    <w:rsid w:val="004E748C"/>
    <w:rsid w:val="004F0C3C"/>
    <w:rsid w:val="004F2280"/>
    <w:rsid w:val="004F23BB"/>
    <w:rsid w:val="004F4738"/>
    <w:rsid w:val="004F52B2"/>
    <w:rsid w:val="004F63FC"/>
    <w:rsid w:val="004F6CFC"/>
    <w:rsid w:val="00505A92"/>
    <w:rsid w:val="00517B93"/>
    <w:rsid w:val="005203F1"/>
    <w:rsid w:val="00521BC3"/>
    <w:rsid w:val="00533632"/>
    <w:rsid w:val="00534013"/>
    <w:rsid w:val="00540C5C"/>
    <w:rsid w:val="00541E6E"/>
    <w:rsid w:val="0054251F"/>
    <w:rsid w:val="005520D8"/>
    <w:rsid w:val="00553A34"/>
    <w:rsid w:val="00555CFB"/>
    <w:rsid w:val="00556CF1"/>
    <w:rsid w:val="00567763"/>
    <w:rsid w:val="00574C7B"/>
    <w:rsid w:val="005762A7"/>
    <w:rsid w:val="00582B79"/>
    <w:rsid w:val="00584D4E"/>
    <w:rsid w:val="00586183"/>
    <w:rsid w:val="00587032"/>
    <w:rsid w:val="00587CEE"/>
    <w:rsid w:val="005916D7"/>
    <w:rsid w:val="00593E87"/>
    <w:rsid w:val="0059427F"/>
    <w:rsid w:val="00596A18"/>
    <w:rsid w:val="005A698C"/>
    <w:rsid w:val="005C0CAC"/>
    <w:rsid w:val="005C56B0"/>
    <w:rsid w:val="005D062E"/>
    <w:rsid w:val="005D24E2"/>
    <w:rsid w:val="005E0799"/>
    <w:rsid w:val="005E10F9"/>
    <w:rsid w:val="005E1200"/>
    <w:rsid w:val="005F0688"/>
    <w:rsid w:val="005F1CD4"/>
    <w:rsid w:val="005F214F"/>
    <w:rsid w:val="005F45EE"/>
    <w:rsid w:val="005F5A80"/>
    <w:rsid w:val="006044FF"/>
    <w:rsid w:val="00607CC5"/>
    <w:rsid w:val="006101F3"/>
    <w:rsid w:val="0061179B"/>
    <w:rsid w:val="006125F9"/>
    <w:rsid w:val="00627F98"/>
    <w:rsid w:val="00632DE7"/>
    <w:rsid w:val="00633014"/>
    <w:rsid w:val="0063437B"/>
    <w:rsid w:val="006362B0"/>
    <w:rsid w:val="00637101"/>
    <w:rsid w:val="0064017E"/>
    <w:rsid w:val="0064497E"/>
    <w:rsid w:val="00652EC2"/>
    <w:rsid w:val="006548F2"/>
    <w:rsid w:val="00654BB6"/>
    <w:rsid w:val="006574AD"/>
    <w:rsid w:val="006650F2"/>
    <w:rsid w:val="00666437"/>
    <w:rsid w:val="006673CA"/>
    <w:rsid w:val="006701E8"/>
    <w:rsid w:val="00673C26"/>
    <w:rsid w:val="00674DE5"/>
    <w:rsid w:val="00677ACA"/>
    <w:rsid w:val="006812AF"/>
    <w:rsid w:val="0068327D"/>
    <w:rsid w:val="00691534"/>
    <w:rsid w:val="00692832"/>
    <w:rsid w:val="00693880"/>
    <w:rsid w:val="00693DC3"/>
    <w:rsid w:val="00694AF0"/>
    <w:rsid w:val="0069637D"/>
    <w:rsid w:val="00697167"/>
    <w:rsid w:val="006A366E"/>
    <w:rsid w:val="006A4686"/>
    <w:rsid w:val="006A487C"/>
    <w:rsid w:val="006A586C"/>
    <w:rsid w:val="006A59F9"/>
    <w:rsid w:val="006A76D3"/>
    <w:rsid w:val="006B0E9E"/>
    <w:rsid w:val="006B486D"/>
    <w:rsid w:val="006B5AE4"/>
    <w:rsid w:val="006C28E7"/>
    <w:rsid w:val="006C3942"/>
    <w:rsid w:val="006D0F72"/>
    <w:rsid w:val="006D1507"/>
    <w:rsid w:val="006D18A7"/>
    <w:rsid w:val="006D28E6"/>
    <w:rsid w:val="006D4054"/>
    <w:rsid w:val="006D4D5C"/>
    <w:rsid w:val="006D7028"/>
    <w:rsid w:val="006E02EC"/>
    <w:rsid w:val="006E3C4F"/>
    <w:rsid w:val="006E6F41"/>
    <w:rsid w:val="006E73E6"/>
    <w:rsid w:val="00700063"/>
    <w:rsid w:val="00702326"/>
    <w:rsid w:val="00705491"/>
    <w:rsid w:val="007118DB"/>
    <w:rsid w:val="00714696"/>
    <w:rsid w:val="007211B1"/>
    <w:rsid w:val="007225C1"/>
    <w:rsid w:val="007277DA"/>
    <w:rsid w:val="00731D27"/>
    <w:rsid w:val="00736D80"/>
    <w:rsid w:val="0074427C"/>
    <w:rsid w:val="007443EA"/>
    <w:rsid w:val="007455C4"/>
    <w:rsid w:val="00746187"/>
    <w:rsid w:val="00752466"/>
    <w:rsid w:val="00757A42"/>
    <w:rsid w:val="0076254F"/>
    <w:rsid w:val="0076675A"/>
    <w:rsid w:val="00766BA1"/>
    <w:rsid w:val="0077751F"/>
    <w:rsid w:val="007801F5"/>
    <w:rsid w:val="00783CA4"/>
    <w:rsid w:val="00783E62"/>
    <w:rsid w:val="007842FB"/>
    <w:rsid w:val="00786124"/>
    <w:rsid w:val="0079514B"/>
    <w:rsid w:val="00795252"/>
    <w:rsid w:val="007A0708"/>
    <w:rsid w:val="007A1A5D"/>
    <w:rsid w:val="007A2D31"/>
    <w:rsid w:val="007A2DC1"/>
    <w:rsid w:val="007B074E"/>
    <w:rsid w:val="007B16C3"/>
    <w:rsid w:val="007B1B81"/>
    <w:rsid w:val="007C0814"/>
    <w:rsid w:val="007C48AA"/>
    <w:rsid w:val="007D0869"/>
    <w:rsid w:val="007D14C4"/>
    <w:rsid w:val="007D3319"/>
    <w:rsid w:val="007D335D"/>
    <w:rsid w:val="007D605C"/>
    <w:rsid w:val="007D607B"/>
    <w:rsid w:val="007E218B"/>
    <w:rsid w:val="007E27E1"/>
    <w:rsid w:val="007E3314"/>
    <w:rsid w:val="007E3514"/>
    <w:rsid w:val="007E4B03"/>
    <w:rsid w:val="007E5F66"/>
    <w:rsid w:val="007E6DF0"/>
    <w:rsid w:val="007F1132"/>
    <w:rsid w:val="007F274C"/>
    <w:rsid w:val="007F324B"/>
    <w:rsid w:val="0080553C"/>
    <w:rsid w:val="00805648"/>
    <w:rsid w:val="00805B46"/>
    <w:rsid w:val="00805DB4"/>
    <w:rsid w:val="0080779A"/>
    <w:rsid w:val="00823593"/>
    <w:rsid w:val="00823A63"/>
    <w:rsid w:val="00825B6A"/>
    <w:rsid w:val="00825DC2"/>
    <w:rsid w:val="00834AD3"/>
    <w:rsid w:val="008430E6"/>
    <w:rsid w:val="00843795"/>
    <w:rsid w:val="00847F0F"/>
    <w:rsid w:val="00852448"/>
    <w:rsid w:val="008555B0"/>
    <w:rsid w:val="0087422F"/>
    <w:rsid w:val="00877F6C"/>
    <w:rsid w:val="0088258A"/>
    <w:rsid w:val="00886332"/>
    <w:rsid w:val="008875EB"/>
    <w:rsid w:val="00887D7C"/>
    <w:rsid w:val="008925F0"/>
    <w:rsid w:val="0089448A"/>
    <w:rsid w:val="00897877"/>
    <w:rsid w:val="008A15B0"/>
    <w:rsid w:val="008A26D9"/>
    <w:rsid w:val="008A4399"/>
    <w:rsid w:val="008A7B5B"/>
    <w:rsid w:val="008B016C"/>
    <w:rsid w:val="008B08AB"/>
    <w:rsid w:val="008B12D2"/>
    <w:rsid w:val="008C0C29"/>
    <w:rsid w:val="008D02DA"/>
    <w:rsid w:val="008D76BC"/>
    <w:rsid w:val="008E112F"/>
    <w:rsid w:val="008E34F1"/>
    <w:rsid w:val="008E7DBA"/>
    <w:rsid w:val="008F0829"/>
    <w:rsid w:val="008F17E1"/>
    <w:rsid w:val="008F3638"/>
    <w:rsid w:val="008F36ED"/>
    <w:rsid w:val="008F4441"/>
    <w:rsid w:val="008F6B20"/>
    <w:rsid w:val="008F6F31"/>
    <w:rsid w:val="008F74DF"/>
    <w:rsid w:val="00902274"/>
    <w:rsid w:val="009127BA"/>
    <w:rsid w:val="00920AAE"/>
    <w:rsid w:val="009227A6"/>
    <w:rsid w:val="00931AE9"/>
    <w:rsid w:val="00932C98"/>
    <w:rsid w:val="00933EC1"/>
    <w:rsid w:val="00935D17"/>
    <w:rsid w:val="009400B6"/>
    <w:rsid w:val="009446AD"/>
    <w:rsid w:val="00944D00"/>
    <w:rsid w:val="009530DB"/>
    <w:rsid w:val="00953676"/>
    <w:rsid w:val="00956F30"/>
    <w:rsid w:val="0096268E"/>
    <w:rsid w:val="00966C9A"/>
    <w:rsid w:val="009705EE"/>
    <w:rsid w:val="00977927"/>
    <w:rsid w:val="0098135C"/>
    <w:rsid w:val="0098156A"/>
    <w:rsid w:val="00991BAC"/>
    <w:rsid w:val="009923B5"/>
    <w:rsid w:val="00992FE3"/>
    <w:rsid w:val="0099406F"/>
    <w:rsid w:val="009A6EA0"/>
    <w:rsid w:val="009A7474"/>
    <w:rsid w:val="009B111D"/>
    <w:rsid w:val="009B1333"/>
    <w:rsid w:val="009B1E8F"/>
    <w:rsid w:val="009B41A3"/>
    <w:rsid w:val="009B42A5"/>
    <w:rsid w:val="009C1335"/>
    <w:rsid w:val="009C1AB2"/>
    <w:rsid w:val="009C44B6"/>
    <w:rsid w:val="009C7251"/>
    <w:rsid w:val="009E2E91"/>
    <w:rsid w:val="009E72F2"/>
    <w:rsid w:val="009F06DE"/>
    <w:rsid w:val="009F6C1C"/>
    <w:rsid w:val="00A01B40"/>
    <w:rsid w:val="00A0554D"/>
    <w:rsid w:val="00A139F5"/>
    <w:rsid w:val="00A1420F"/>
    <w:rsid w:val="00A20356"/>
    <w:rsid w:val="00A21FB6"/>
    <w:rsid w:val="00A27118"/>
    <w:rsid w:val="00A32E16"/>
    <w:rsid w:val="00A365F4"/>
    <w:rsid w:val="00A36E87"/>
    <w:rsid w:val="00A4101F"/>
    <w:rsid w:val="00A41E41"/>
    <w:rsid w:val="00A47D80"/>
    <w:rsid w:val="00A53132"/>
    <w:rsid w:val="00A563F2"/>
    <w:rsid w:val="00A566E8"/>
    <w:rsid w:val="00A5746C"/>
    <w:rsid w:val="00A66347"/>
    <w:rsid w:val="00A6708C"/>
    <w:rsid w:val="00A67466"/>
    <w:rsid w:val="00A71FD1"/>
    <w:rsid w:val="00A736FA"/>
    <w:rsid w:val="00A74628"/>
    <w:rsid w:val="00A74F57"/>
    <w:rsid w:val="00A75D1D"/>
    <w:rsid w:val="00A75E90"/>
    <w:rsid w:val="00A810F9"/>
    <w:rsid w:val="00A82D31"/>
    <w:rsid w:val="00A838F8"/>
    <w:rsid w:val="00A85E7E"/>
    <w:rsid w:val="00A864D6"/>
    <w:rsid w:val="00A86ECC"/>
    <w:rsid w:val="00A86FCC"/>
    <w:rsid w:val="00A90A6D"/>
    <w:rsid w:val="00A9524D"/>
    <w:rsid w:val="00A971E5"/>
    <w:rsid w:val="00AA710D"/>
    <w:rsid w:val="00AB64F3"/>
    <w:rsid w:val="00AB6D25"/>
    <w:rsid w:val="00AB7AEB"/>
    <w:rsid w:val="00AC025E"/>
    <w:rsid w:val="00AD0151"/>
    <w:rsid w:val="00AD0E56"/>
    <w:rsid w:val="00AD2CF3"/>
    <w:rsid w:val="00AD7D81"/>
    <w:rsid w:val="00AE229B"/>
    <w:rsid w:val="00AE2D4B"/>
    <w:rsid w:val="00AE4F99"/>
    <w:rsid w:val="00AE7171"/>
    <w:rsid w:val="00AE7CE9"/>
    <w:rsid w:val="00B11B69"/>
    <w:rsid w:val="00B14952"/>
    <w:rsid w:val="00B16871"/>
    <w:rsid w:val="00B25B45"/>
    <w:rsid w:val="00B31E5A"/>
    <w:rsid w:val="00B47359"/>
    <w:rsid w:val="00B64307"/>
    <w:rsid w:val="00B653AB"/>
    <w:rsid w:val="00B65F9E"/>
    <w:rsid w:val="00B66B19"/>
    <w:rsid w:val="00B71C79"/>
    <w:rsid w:val="00B728CE"/>
    <w:rsid w:val="00B74C13"/>
    <w:rsid w:val="00B75F98"/>
    <w:rsid w:val="00B80EEB"/>
    <w:rsid w:val="00B8340B"/>
    <w:rsid w:val="00B84CAF"/>
    <w:rsid w:val="00B914E9"/>
    <w:rsid w:val="00B956EE"/>
    <w:rsid w:val="00BA2BA1"/>
    <w:rsid w:val="00BA2BA7"/>
    <w:rsid w:val="00BA3447"/>
    <w:rsid w:val="00BA3562"/>
    <w:rsid w:val="00BA6648"/>
    <w:rsid w:val="00BB2CCE"/>
    <w:rsid w:val="00BB4F09"/>
    <w:rsid w:val="00BC0EDF"/>
    <w:rsid w:val="00BC2D48"/>
    <w:rsid w:val="00BD4E33"/>
    <w:rsid w:val="00BD5D68"/>
    <w:rsid w:val="00BE51B9"/>
    <w:rsid w:val="00C030DE"/>
    <w:rsid w:val="00C051A8"/>
    <w:rsid w:val="00C10371"/>
    <w:rsid w:val="00C110E6"/>
    <w:rsid w:val="00C114E5"/>
    <w:rsid w:val="00C22105"/>
    <w:rsid w:val="00C2288C"/>
    <w:rsid w:val="00C244B6"/>
    <w:rsid w:val="00C24A54"/>
    <w:rsid w:val="00C27BF1"/>
    <w:rsid w:val="00C32832"/>
    <w:rsid w:val="00C32BE6"/>
    <w:rsid w:val="00C3577D"/>
    <w:rsid w:val="00C3702F"/>
    <w:rsid w:val="00C37E9E"/>
    <w:rsid w:val="00C4500A"/>
    <w:rsid w:val="00C45636"/>
    <w:rsid w:val="00C47BF1"/>
    <w:rsid w:val="00C56BC4"/>
    <w:rsid w:val="00C617F9"/>
    <w:rsid w:val="00C62238"/>
    <w:rsid w:val="00C64051"/>
    <w:rsid w:val="00C64A37"/>
    <w:rsid w:val="00C7158E"/>
    <w:rsid w:val="00C7250B"/>
    <w:rsid w:val="00C7346B"/>
    <w:rsid w:val="00C751EB"/>
    <w:rsid w:val="00C77C0E"/>
    <w:rsid w:val="00C80C92"/>
    <w:rsid w:val="00C91687"/>
    <w:rsid w:val="00C924A8"/>
    <w:rsid w:val="00C945FE"/>
    <w:rsid w:val="00C96FAA"/>
    <w:rsid w:val="00C97A04"/>
    <w:rsid w:val="00CA107B"/>
    <w:rsid w:val="00CA14BD"/>
    <w:rsid w:val="00CA484D"/>
    <w:rsid w:val="00CA4FB6"/>
    <w:rsid w:val="00CB2F90"/>
    <w:rsid w:val="00CB6AD4"/>
    <w:rsid w:val="00CC3D76"/>
    <w:rsid w:val="00CC739E"/>
    <w:rsid w:val="00CD1EBB"/>
    <w:rsid w:val="00CD22FD"/>
    <w:rsid w:val="00CD2324"/>
    <w:rsid w:val="00CD28CF"/>
    <w:rsid w:val="00CD58B7"/>
    <w:rsid w:val="00CD660E"/>
    <w:rsid w:val="00CD7967"/>
    <w:rsid w:val="00CE018D"/>
    <w:rsid w:val="00CF18EE"/>
    <w:rsid w:val="00CF30BD"/>
    <w:rsid w:val="00CF4099"/>
    <w:rsid w:val="00CF5D3F"/>
    <w:rsid w:val="00D00383"/>
    <w:rsid w:val="00D00796"/>
    <w:rsid w:val="00D0522E"/>
    <w:rsid w:val="00D2181B"/>
    <w:rsid w:val="00D261A2"/>
    <w:rsid w:val="00D41D8A"/>
    <w:rsid w:val="00D44C8C"/>
    <w:rsid w:val="00D5489D"/>
    <w:rsid w:val="00D616D2"/>
    <w:rsid w:val="00D6299E"/>
    <w:rsid w:val="00D63B5F"/>
    <w:rsid w:val="00D64A27"/>
    <w:rsid w:val="00D67496"/>
    <w:rsid w:val="00D70EF7"/>
    <w:rsid w:val="00D8397C"/>
    <w:rsid w:val="00D852B9"/>
    <w:rsid w:val="00D94EED"/>
    <w:rsid w:val="00D96026"/>
    <w:rsid w:val="00D972F6"/>
    <w:rsid w:val="00DA0CB3"/>
    <w:rsid w:val="00DA331D"/>
    <w:rsid w:val="00DA7C1C"/>
    <w:rsid w:val="00DB008D"/>
    <w:rsid w:val="00DB0A55"/>
    <w:rsid w:val="00DB147A"/>
    <w:rsid w:val="00DB1B7A"/>
    <w:rsid w:val="00DB706E"/>
    <w:rsid w:val="00DC1663"/>
    <w:rsid w:val="00DC6708"/>
    <w:rsid w:val="00DD011A"/>
    <w:rsid w:val="00DD038B"/>
    <w:rsid w:val="00DD06BA"/>
    <w:rsid w:val="00DE0F96"/>
    <w:rsid w:val="00DE2400"/>
    <w:rsid w:val="00DE3CDE"/>
    <w:rsid w:val="00DE3FD2"/>
    <w:rsid w:val="00DE58F1"/>
    <w:rsid w:val="00DE6255"/>
    <w:rsid w:val="00DE6690"/>
    <w:rsid w:val="00DE6B58"/>
    <w:rsid w:val="00DF5E32"/>
    <w:rsid w:val="00E01436"/>
    <w:rsid w:val="00E03E79"/>
    <w:rsid w:val="00E045BD"/>
    <w:rsid w:val="00E04D6C"/>
    <w:rsid w:val="00E050B1"/>
    <w:rsid w:val="00E0771E"/>
    <w:rsid w:val="00E10376"/>
    <w:rsid w:val="00E17B77"/>
    <w:rsid w:val="00E221E0"/>
    <w:rsid w:val="00E231AB"/>
    <w:rsid w:val="00E23337"/>
    <w:rsid w:val="00E244D4"/>
    <w:rsid w:val="00E24C0B"/>
    <w:rsid w:val="00E259EA"/>
    <w:rsid w:val="00E25D33"/>
    <w:rsid w:val="00E26CA6"/>
    <w:rsid w:val="00E27213"/>
    <w:rsid w:val="00E32061"/>
    <w:rsid w:val="00E33F48"/>
    <w:rsid w:val="00E350F9"/>
    <w:rsid w:val="00E42FF9"/>
    <w:rsid w:val="00E44790"/>
    <w:rsid w:val="00E45965"/>
    <w:rsid w:val="00E4698B"/>
    <w:rsid w:val="00E4714C"/>
    <w:rsid w:val="00E509C2"/>
    <w:rsid w:val="00E51671"/>
    <w:rsid w:val="00E5178D"/>
    <w:rsid w:val="00E51AEB"/>
    <w:rsid w:val="00E522A7"/>
    <w:rsid w:val="00E5349E"/>
    <w:rsid w:val="00E54452"/>
    <w:rsid w:val="00E63B0C"/>
    <w:rsid w:val="00E664C5"/>
    <w:rsid w:val="00E671A2"/>
    <w:rsid w:val="00E676F7"/>
    <w:rsid w:val="00E75736"/>
    <w:rsid w:val="00E76D26"/>
    <w:rsid w:val="00E76EE5"/>
    <w:rsid w:val="00E8014E"/>
    <w:rsid w:val="00E87107"/>
    <w:rsid w:val="00E95B8E"/>
    <w:rsid w:val="00EA3F4A"/>
    <w:rsid w:val="00EA7B2B"/>
    <w:rsid w:val="00EB1390"/>
    <w:rsid w:val="00EB2C71"/>
    <w:rsid w:val="00EB3333"/>
    <w:rsid w:val="00EB3CE9"/>
    <w:rsid w:val="00EB4340"/>
    <w:rsid w:val="00EB556D"/>
    <w:rsid w:val="00EB5A7D"/>
    <w:rsid w:val="00EB7ED1"/>
    <w:rsid w:val="00ED11C4"/>
    <w:rsid w:val="00ED55C0"/>
    <w:rsid w:val="00ED6185"/>
    <w:rsid w:val="00ED682B"/>
    <w:rsid w:val="00ED6897"/>
    <w:rsid w:val="00EE41D5"/>
    <w:rsid w:val="00F0166F"/>
    <w:rsid w:val="00F02A41"/>
    <w:rsid w:val="00F02AB5"/>
    <w:rsid w:val="00F037A4"/>
    <w:rsid w:val="00F04394"/>
    <w:rsid w:val="00F049AB"/>
    <w:rsid w:val="00F06DB9"/>
    <w:rsid w:val="00F142DB"/>
    <w:rsid w:val="00F145F5"/>
    <w:rsid w:val="00F15F2E"/>
    <w:rsid w:val="00F16C3C"/>
    <w:rsid w:val="00F27C8F"/>
    <w:rsid w:val="00F3156C"/>
    <w:rsid w:val="00F32749"/>
    <w:rsid w:val="00F33074"/>
    <w:rsid w:val="00F37172"/>
    <w:rsid w:val="00F4477E"/>
    <w:rsid w:val="00F46269"/>
    <w:rsid w:val="00F46DE8"/>
    <w:rsid w:val="00F50E3A"/>
    <w:rsid w:val="00F50EE9"/>
    <w:rsid w:val="00F52388"/>
    <w:rsid w:val="00F52A74"/>
    <w:rsid w:val="00F52F34"/>
    <w:rsid w:val="00F55515"/>
    <w:rsid w:val="00F60BA8"/>
    <w:rsid w:val="00F6499C"/>
    <w:rsid w:val="00F67D8F"/>
    <w:rsid w:val="00F802BE"/>
    <w:rsid w:val="00F80353"/>
    <w:rsid w:val="00F80E93"/>
    <w:rsid w:val="00F8171D"/>
    <w:rsid w:val="00F847F4"/>
    <w:rsid w:val="00F86024"/>
    <w:rsid w:val="00F8611A"/>
    <w:rsid w:val="00F96F74"/>
    <w:rsid w:val="00FA1FBA"/>
    <w:rsid w:val="00FA5128"/>
    <w:rsid w:val="00FA6E70"/>
    <w:rsid w:val="00FB42D4"/>
    <w:rsid w:val="00FB4D9C"/>
    <w:rsid w:val="00FB5906"/>
    <w:rsid w:val="00FB762F"/>
    <w:rsid w:val="00FC2AED"/>
    <w:rsid w:val="00FC505A"/>
    <w:rsid w:val="00FD277E"/>
    <w:rsid w:val="00FD4A62"/>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316A57"/>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0A5604"/>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0A560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130A37"/>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130A37"/>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587032"/>
    <w:rPr>
      <w:rFonts w:ascii="Fira Sans" w:hAnsi="Fira Sans"/>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587032"/>
    <w:rPr>
      <w:rFonts w:ascii="Fira Sans" w:eastAsia="Times New Roman" w:hAnsi="Fira Sans" w:cs="Times New Roman"/>
      <w:b/>
      <w:bCs/>
      <w:noProof/>
      <w:color w:val="001D77"/>
      <w:sz w:val="19"/>
      <w:szCs w:val="24"/>
      <w:lang w:eastAsia="pl-PL"/>
    </w:rPr>
  </w:style>
  <w:style w:type="paragraph" w:styleId="Tekstprzypisukocowego">
    <w:name w:val="endnote text"/>
    <w:basedOn w:val="Normalny"/>
    <w:link w:val="TekstprzypisukocowegoZnak"/>
    <w:uiPriority w:val="99"/>
    <w:semiHidden/>
    <w:unhideWhenUsed/>
    <w:rsid w:val="00DE0F96"/>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E0F96"/>
    <w:rPr>
      <w:rFonts w:ascii="Fira Sans" w:hAnsi="Fira Sans"/>
      <w:sz w:val="20"/>
      <w:szCs w:val="20"/>
    </w:rPr>
  </w:style>
  <w:style w:type="character" w:styleId="Odwoanieprzypisukocowego">
    <w:name w:val="endnote reference"/>
    <w:basedOn w:val="Domylnaczcionkaakapitu"/>
    <w:uiPriority w:val="99"/>
    <w:semiHidden/>
    <w:unhideWhenUsed/>
    <w:rsid w:val="00DE0F96"/>
    <w:rPr>
      <w:vertAlign w:val="superscript"/>
    </w:rPr>
  </w:style>
  <w:style w:type="character" w:styleId="UyteHipercze">
    <w:name w:val="FollowedHyperlink"/>
    <w:basedOn w:val="Domylnaczcionkaakapitu"/>
    <w:uiPriority w:val="99"/>
    <w:semiHidden/>
    <w:unhideWhenUsed/>
    <w:rsid w:val="0077751F"/>
    <w:rPr>
      <w:color w:val="954F72" w:themeColor="followedHyperlink"/>
      <w:u w:val="single"/>
    </w:rPr>
  </w:style>
  <w:style w:type="paragraph" w:styleId="Adresnakopercie">
    <w:name w:val="envelope address"/>
    <w:basedOn w:val="Normalny"/>
    <w:uiPriority w:val="99"/>
    <w:semiHidden/>
    <w:unhideWhenUsed/>
    <w:rsid w:val="000A5604"/>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0A5604"/>
    <w:pPr>
      <w:spacing w:before="0" w:after="0" w:line="240" w:lineRule="auto"/>
    </w:pPr>
    <w:rPr>
      <w:rFonts w:asciiTheme="majorHAnsi" w:eastAsiaTheme="majorEastAsia" w:hAnsiTheme="majorHAnsi" w:cstheme="majorBidi"/>
      <w:sz w:val="20"/>
      <w:szCs w:val="20"/>
    </w:rPr>
  </w:style>
  <w:style w:type="paragraph" w:styleId="Bezodstpw">
    <w:name w:val="No Spacing"/>
    <w:uiPriority w:val="1"/>
    <w:rsid w:val="000A5604"/>
    <w:pPr>
      <w:spacing w:after="0" w:line="240" w:lineRule="auto"/>
    </w:pPr>
    <w:rPr>
      <w:rFonts w:ascii="Fira Sans" w:hAnsi="Fira Sans"/>
      <w:sz w:val="19"/>
    </w:rPr>
  </w:style>
  <w:style w:type="paragraph" w:styleId="Bibliografia">
    <w:name w:val="Bibliography"/>
    <w:basedOn w:val="Normalny"/>
    <w:next w:val="Normalny"/>
    <w:uiPriority w:val="37"/>
    <w:semiHidden/>
    <w:unhideWhenUsed/>
    <w:rsid w:val="000A5604"/>
  </w:style>
  <w:style w:type="paragraph" w:styleId="Cytat">
    <w:name w:val="Quote"/>
    <w:basedOn w:val="Normalny"/>
    <w:next w:val="Normalny"/>
    <w:link w:val="CytatZnak"/>
    <w:uiPriority w:val="29"/>
    <w:qFormat/>
    <w:rsid w:val="000A5604"/>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0A5604"/>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0A560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0A5604"/>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0A5604"/>
  </w:style>
  <w:style w:type="character" w:customStyle="1" w:styleId="DataZnak">
    <w:name w:val="Data Znak"/>
    <w:basedOn w:val="Domylnaczcionkaakapitu"/>
    <w:link w:val="Data"/>
    <w:uiPriority w:val="99"/>
    <w:semiHidden/>
    <w:rsid w:val="000A5604"/>
    <w:rPr>
      <w:rFonts w:ascii="Fira Sans" w:hAnsi="Fira Sans"/>
      <w:sz w:val="19"/>
    </w:rPr>
  </w:style>
  <w:style w:type="paragraph" w:styleId="HTML-adres">
    <w:name w:val="HTML Address"/>
    <w:basedOn w:val="Normalny"/>
    <w:link w:val="HTML-adresZnak"/>
    <w:uiPriority w:val="99"/>
    <w:semiHidden/>
    <w:unhideWhenUsed/>
    <w:rsid w:val="000A5604"/>
    <w:pPr>
      <w:spacing w:before="0" w:after="0" w:line="240" w:lineRule="auto"/>
    </w:pPr>
    <w:rPr>
      <w:i/>
      <w:iCs/>
    </w:rPr>
  </w:style>
  <w:style w:type="character" w:customStyle="1" w:styleId="HTML-adresZnak">
    <w:name w:val="HTML - adres Znak"/>
    <w:basedOn w:val="Domylnaczcionkaakapitu"/>
    <w:link w:val="HTML-adres"/>
    <w:uiPriority w:val="99"/>
    <w:semiHidden/>
    <w:rsid w:val="000A5604"/>
    <w:rPr>
      <w:rFonts w:ascii="Fira Sans" w:hAnsi="Fira Sans"/>
      <w:i/>
      <w:iCs/>
      <w:sz w:val="19"/>
    </w:rPr>
  </w:style>
  <w:style w:type="paragraph" w:styleId="HTML-wstpniesformatowany">
    <w:name w:val="HTML Preformatted"/>
    <w:basedOn w:val="Normalny"/>
    <w:link w:val="HTML-wstpniesformatowanyZnak"/>
    <w:uiPriority w:val="99"/>
    <w:semiHidden/>
    <w:unhideWhenUsed/>
    <w:rsid w:val="000A5604"/>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0A5604"/>
    <w:rPr>
      <w:rFonts w:ascii="Consolas" w:hAnsi="Consolas"/>
      <w:sz w:val="20"/>
      <w:szCs w:val="20"/>
    </w:rPr>
  </w:style>
  <w:style w:type="paragraph" w:styleId="Indeks1">
    <w:name w:val="index 1"/>
    <w:basedOn w:val="Normalny"/>
    <w:next w:val="Normalny"/>
    <w:autoRedefine/>
    <w:uiPriority w:val="99"/>
    <w:semiHidden/>
    <w:unhideWhenUsed/>
    <w:rsid w:val="000A5604"/>
    <w:pPr>
      <w:spacing w:before="0" w:after="0" w:line="240" w:lineRule="auto"/>
      <w:ind w:left="190" w:hanging="190"/>
    </w:pPr>
  </w:style>
  <w:style w:type="paragraph" w:styleId="Indeks2">
    <w:name w:val="index 2"/>
    <w:basedOn w:val="Normalny"/>
    <w:next w:val="Normalny"/>
    <w:autoRedefine/>
    <w:uiPriority w:val="99"/>
    <w:semiHidden/>
    <w:unhideWhenUsed/>
    <w:rsid w:val="000A5604"/>
    <w:pPr>
      <w:spacing w:before="0" w:after="0" w:line="240" w:lineRule="auto"/>
      <w:ind w:left="380" w:hanging="190"/>
    </w:pPr>
  </w:style>
  <w:style w:type="paragraph" w:styleId="Indeks3">
    <w:name w:val="index 3"/>
    <w:basedOn w:val="Normalny"/>
    <w:next w:val="Normalny"/>
    <w:autoRedefine/>
    <w:uiPriority w:val="99"/>
    <w:semiHidden/>
    <w:unhideWhenUsed/>
    <w:rsid w:val="000A5604"/>
    <w:pPr>
      <w:spacing w:before="0" w:after="0" w:line="240" w:lineRule="auto"/>
      <w:ind w:left="570" w:hanging="190"/>
    </w:pPr>
  </w:style>
  <w:style w:type="paragraph" w:styleId="Indeks4">
    <w:name w:val="index 4"/>
    <w:basedOn w:val="Normalny"/>
    <w:next w:val="Normalny"/>
    <w:autoRedefine/>
    <w:uiPriority w:val="99"/>
    <w:semiHidden/>
    <w:unhideWhenUsed/>
    <w:rsid w:val="000A5604"/>
    <w:pPr>
      <w:spacing w:before="0" w:after="0" w:line="240" w:lineRule="auto"/>
      <w:ind w:left="760" w:hanging="190"/>
    </w:pPr>
  </w:style>
  <w:style w:type="paragraph" w:styleId="Indeks5">
    <w:name w:val="index 5"/>
    <w:basedOn w:val="Normalny"/>
    <w:next w:val="Normalny"/>
    <w:autoRedefine/>
    <w:uiPriority w:val="99"/>
    <w:semiHidden/>
    <w:unhideWhenUsed/>
    <w:rsid w:val="000A5604"/>
    <w:pPr>
      <w:spacing w:before="0" w:after="0" w:line="240" w:lineRule="auto"/>
      <w:ind w:left="950" w:hanging="190"/>
    </w:pPr>
  </w:style>
  <w:style w:type="paragraph" w:styleId="Indeks6">
    <w:name w:val="index 6"/>
    <w:basedOn w:val="Normalny"/>
    <w:next w:val="Normalny"/>
    <w:autoRedefine/>
    <w:uiPriority w:val="99"/>
    <w:semiHidden/>
    <w:unhideWhenUsed/>
    <w:rsid w:val="000A5604"/>
    <w:pPr>
      <w:spacing w:before="0" w:after="0" w:line="240" w:lineRule="auto"/>
      <w:ind w:left="1140" w:hanging="190"/>
    </w:pPr>
  </w:style>
  <w:style w:type="paragraph" w:styleId="Indeks7">
    <w:name w:val="index 7"/>
    <w:basedOn w:val="Normalny"/>
    <w:next w:val="Normalny"/>
    <w:autoRedefine/>
    <w:uiPriority w:val="99"/>
    <w:semiHidden/>
    <w:unhideWhenUsed/>
    <w:rsid w:val="000A5604"/>
    <w:pPr>
      <w:spacing w:before="0" w:after="0" w:line="240" w:lineRule="auto"/>
      <w:ind w:left="1330" w:hanging="190"/>
    </w:pPr>
  </w:style>
  <w:style w:type="paragraph" w:styleId="Indeks8">
    <w:name w:val="index 8"/>
    <w:basedOn w:val="Normalny"/>
    <w:next w:val="Normalny"/>
    <w:autoRedefine/>
    <w:uiPriority w:val="99"/>
    <w:semiHidden/>
    <w:unhideWhenUsed/>
    <w:rsid w:val="000A5604"/>
    <w:pPr>
      <w:spacing w:before="0" w:after="0" w:line="240" w:lineRule="auto"/>
      <w:ind w:left="1520" w:hanging="190"/>
    </w:pPr>
  </w:style>
  <w:style w:type="paragraph" w:styleId="Indeks9">
    <w:name w:val="index 9"/>
    <w:basedOn w:val="Normalny"/>
    <w:next w:val="Normalny"/>
    <w:autoRedefine/>
    <w:uiPriority w:val="99"/>
    <w:semiHidden/>
    <w:unhideWhenUsed/>
    <w:rsid w:val="000A5604"/>
    <w:pPr>
      <w:spacing w:before="0" w:after="0" w:line="240" w:lineRule="auto"/>
      <w:ind w:left="1710" w:hanging="190"/>
    </w:pPr>
  </w:style>
  <w:style w:type="paragraph" w:styleId="Legenda">
    <w:name w:val="caption"/>
    <w:basedOn w:val="Normalny"/>
    <w:next w:val="Normalny"/>
    <w:uiPriority w:val="35"/>
    <w:semiHidden/>
    <w:unhideWhenUsed/>
    <w:qFormat/>
    <w:rsid w:val="000A5604"/>
    <w:pPr>
      <w:spacing w:before="0" w:after="200" w:line="240" w:lineRule="auto"/>
    </w:pPr>
    <w:rPr>
      <w:i/>
      <w:iCs/>
      <w:color w:val="44546A" w:themeColor="text2"/>
      <w:sz w:val="18"/>
      <w:szCs w:val="18"/>
    </w:rPr>
  </w:style>
  <w:style w:type="paragraph" w:styleId="Lista">
    <w:name w:val="List"/>
    <w:basedOn w:val="Normalny"/>
    <w:uiPriority w:val="99"/>
    <w:semiHidden/>
    <w:unhideWhenUsed/>
    <w:rsid w:val="000A5604"/>
    <w:pPr>
      <w:ind w:left="283" w:hanging="283"/>
      <w:contextualSpacing/>
    </w:pPr>
  </w:style>
  <w:style w:type="paragraph" w:styleId="Lista-kontynuacja">
    <w:name w:val="List Continue"/>
    <w:basedOn w:val="Normalny"/>
    <w:uiPriority w:val="99"/>
    <w:semiHidden/>
    <w:unhideWhenUsed/>
    <w:rsid w:val="000A5604"/>
    <w:pPr>
      <w:ind w:left="283"/>
      <w:contextualSpacing/>
    </w:pPr>
  </w:style>
  <w:style w:type="paragraph" w:styleId="Lista-kontynuacja2">
    <w:name w:val="List Continue 2"/>
    <w:basedOn w:val="Normalny"/>
    <w:uiPriority w:val="99"/>
    <w:semiHidden/>
    <w:unhideWhenUsed/>
    <w:rsid w:val="000A5604"/>
    <w:pPr>
      <w:ind w:left="566"/>
      <w:contextualSpacing/>
    </w:pPr>
  </w:style>
  <w:style w:type="paragraph" w:styleId="Lista-kontynuacja3">
    <w:name w:val="List Continue 3"/>
    <w:basedOn w:val="Normalny"/>
    <w:uiPriority w:val="99"/>
    <w:semiHidden/>
    <w:unhideWhenUsed/>
    <w:rsid w:val="000A5604"/>
    <w:pPr>
      <w:ind w:left="849"/>
      <w:contextualSpacing/>
    </w:pPr>
  </w:style>
  <w:style w:type="paragraph" w:styleId="Lista-kontynuacja4">
    <w:name w:val="List Continue 4"/>
    <w:basedOn w:val="Normalny"/>
    <w:uiPriority w:val="99"/>
    <w:semiHidden/>
    <w:unhideWhenUsed/>
    <w:rsid w:val="000A5604"/>
    <w:pPr>
      <w:ind w:left="1132"/>
      <w:contextualSpacing/>
    </w:pPr>
  </w:style>
  <w:style w:type="paragraph" w:styleId="Lista-kontynuacja5">
    <w:name w:val="List Continue 5"/>
    <w:basedOn w:val="Normalny"/>
    <w:uiPriority w:val="99"/>
    <w:semiHidden/>
    <w:unhideWhenUsed/>
    <w:rsid w:val="000A5604"/>
    <w:pPr>
      <w:ind w:left="1415"/>
      <w:contextualSpacing/>
    </w:pPr>
  </w:style>
  <w:style w:type="paragraph" w:styleId="Lista2">
    <w:name w:val="List 2"/>
    <w:basedOn w:val="Normalny"/>
    <w:uiPriority w:val="99"/>
    <w:semiHidden/>
    <w:unhideWhenUsed/>
    <w:rsid w:val="000A5604"/>
    <w:pPr>
      <w:ind w:left="566" w:hanging="283"/>
      <w:contextualSpacing/>
    </w:pPr>
  </w:style>
  <w:style w:type="paragraph" w:styleId="Lista3">
    <w:name w:val="List 3"/>
    <w:basedOn w:val="Normalny"/>
    <w:uiPriority w:val="99"/>
    <w:semiHidden/>
    <w:unhideWhenUsed/>
    <w:rsid w:val="000A5604"/>
    <w:pPr>
      <w:ind w:left="849" w:hanging="283"/>
      <w:contextualSpacing/>
    </w:pPr>
  </w:style>
  <w:style w:type="paragraph" w:styleId="Lista4">
    <w:name w:val="List 4"/>
    <w:basedOn w:val="Normalny"/>
    <w:uiPriority w:val="99"/>
    <w:semiHidden/>
    <w:unhideWhenUsed/>
    <w:rsid w:val="000A5604"/>
    <w:pPr>
      <w:ind w:left="1132" w:hanging="283"/>
      <w:contextualSpacing/>
    </w:pPr>
  </w:style>
  <w:style w:type="paragraph" w:styleId="Lista5">
    <w:name w:val="List 5"/>
    <w:basedOn w:val="Normalny"/>
    <w:uiPriority w:val="99"/>
    <w:semiHidden/>
    <w:unhideWhenUsed/>
    <w:rsid w:val="000A5604"/>
    <w:pPr>
      <w:ind w:left="1415" w:hanging="283"/>
      <w:contextualSpacing/>
    </w:pPr>
  </w:style>
  <w:style w:type="paragraph" w:styleId="Listanumerowana">
    <w:name w:val="List Number"/>
    <w:basedOn w:val="Normalny"/>
    <w:uiPriority w:val="99"/>
    <w:semiHidden/>
    <w:unhideWhenUsed/>
    <w:rsid w:val="000A5604"/>
    <w:pPr>
      <w:numPr>
        <w:numId w:val="7"/>
      </w:numPr>
      <w:contextualSpacing/>
    </w:pPr>
  </w:style>
  <w:style w:type="paragraph" w:styleId="Listanumerowana2">
    <w:name w:val="List Number 2"/>
    <w:basedOn w:val="Normalny"/>
    <w:uiPriority w:val="99"/>
    <w:semiHidden/>
    <w:unhideWhenUsed/>
    <w:rsid w:val="000A5604"/>
    <w:pPr>
      <w:numPr>
        <w:numId w:val="8"/>
      </w:numPr>
      <w:contextualSpacing/>
    </w:pPr>
  </w:style>
  <w:style w:type="paragraph" w:styleId="Listanumerowana3">
    <w:name w:val="List Number 3"/>
    <w:basedOn w:val="Normalny"/>
    <w:uiPriority w:val="99"/>
    <w:semiHidden/>
    <w:unhideWhenUsed/>
    <w:rsid w:val="000A5604"/>
    <w:pPr>
      <w:numPr>
        <w:numId w:val="9"/>
      </w:numPr>
      <w:contextualSpacing/>
    </w:pPr>
  </w:style>
  <w:style w:type="paragraph" w:styleId="Listanumerowana4">
    <w:name w:val="List Number 4"/>
    <w:basedOn w:val="Normalny"/>
    <w:uiPriority w:val="99"/>
    <w:semiHidden/>
    <w:unhideWhenUsed/>
    <w:rsid w:val="000A5604"/>
    <w:pPr>
      <w:numPr>
        <w:numId w:val="10"/>
      </w:numPr>
      <w:contextualSpacing/>
    </w:pPr>
  </w:style>
  <w:style w:type="paragraph" w:styleId="Listanumerowana5">
    <w:name w:val="List Number 5"/>
    <w:basedOn w:val="Normalny"/>
    <w:uiPriority w:val="99"/>
    <w:semiHidden/>
    <w:unhideWhenUsed/>
    <w:rsid w:val="000A5604"/>
    <w:pPr>
      <w:numPr>
        <w:numId w:val="11"/>
      </w:numPr>
      <w:contextualSpacing/>
    </w:pPr>
  </w:style>
  <w:style w:type="paragraph" w:styleId="Listapunktowana">
    <w:name w:val="List Bullet"/>
    <w:basedOn w:val="Normalny"/>
    <w:uiPriority w:val="99"/>
    <w:semiHidden/>
    <w:unhideWhenUsed/>
    <w:rsid w:val="000A5604"/>
    <w:pPr>
      <w:numPr>
        <w:numId w:val="12"/>
      </w:numPr>
      <w:contextualSpacing/>
    </w:pPr>
  </w:style>
  <w:style w:type="paragraph" w:styleId="Listapunktowana2">
    <w:name w:val="List Bullet 2"/>
    <w:basedOn w:val="Normalny"/>
    <w:uiPriority w:val="99"/>
    <w:semiHidden/>
    <w:unhideWhenUsed/>
    <w:rsid w:val="000A5604"/>
    <w:pPr>
      <w:numPr>
        <w:numId w:val="13"/>
      </w:numPr>
      <w:contextualSpacing/>
    </w:pPr>
  </w:style>
  <w:style w:type="paragraph" w:styleId="Listapunktowana3">
    <w:name w:val="List Bullet 3"/>
    <w:basedOn w:val="Normalny"/>
    <w:uiPriority w:val="99"/>
    <w:semiHidden/>
    <w:unhideWhenUsed/>
    <w:rsid w:val="000A5604"/>
    <w:pPr>
      <w:numPr>
        <w:numId w:val="14"/>
      </w:numPr>
      <w:contextualSpacing/>
    </w:pPr>
  </w:style>
  <w:style w:type="paragraph" w:styleId="Listapunktowana4">
    <w:name w:val="List Bullet 4"/>
    <w:basedOn w:val="Normalny"/>
    <w:uiPriority w:val="99"/>
    <w:semiHidden/>
    <w:unhideWhenUsed/>
    <w:rsid w:val="000A5604"/>
    <w:pPr>
      <w:numPr>
        <w:numId w:val="15"/>
      </w:numPr>
      <w:contextualSpacing/>
    </w:pPr>
  </w:style>
  <w:style w:type="paragraph" w:styleId="Listapunktowana5">
    <w:name w:val="List Bullet 5"/>
    <w:basedOn w:val="Normalny"/>
    <w:uiPriority w:val="99"/>
    <w:semiHidden/>
    <w:unhideWhenUsed/>
    <w:rsid w:val="000A5604"/>
    <w:pPr>
      <w:numPr>
        <w:numId w:val="16"/>
      </w:numPr>
      <w:contextualSpacing/>
    </w:pPr>
  </w:style>
  <w:style w:type="paragraph" w:styleId="Mapadokumentu">
    <w:name w:val="Document Map"/>
    <w:basedOn w:val="Normalny"/>
    <w:link w:val="MapadokumentuZnak"/>
    <w:uiPriority w:val="99"/>
    <w:semiHidden/>
    <w:unhideWhenUsed/>
    <w:rsid w:val="000A5604"/>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0A5604"/>
    <w:rPr>
      <w:rFonts w:ascii="Segoe UI" w:hAnsi="Segoe UI" w:cs="Segoe UI"/>
      <w:sz w:val="16"/>
      <w:szCs w:val="16"/>
    </w:rPr>
  </w:style>
  <w:style w:type="character" w:customStyle="1" w:styleId="Nagwek6Znak">
    <w:name w:val="Nagłówek 6 Znak"/>
    <w:basedOn w:val="Domylnaczcionkaakapitu"/>
    <w:link w:val="Nagwek6"/>
    <w:uiPriority w:val="9"/>
    <w:semiHidden/>
    <w:rsid w:val="000A5604"/>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0A5604"/>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0A5604"/>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0A5604"/>
    <w:pPr>
      <w:spacing w:before="0" w:after="0" w:line="240" w:lineRule="auto"/>
    </w:pPr>
  </w:style>
  <w:style w:type="character" w:customStyle="1" w:styleId="NagweknotatkiZnak">
    <w:name w:val="Nagłówek notatki Znak"/>
    <w:basedOn w:val="Domylnaczcionkaakapitu"/>
    <w:link w:val="Nagweknotatki"/>
    <w:uiPriority w:val="99"/>
    <w:semiHidden/>
    <w:rsid w:val="000A5604"/>
    <w:rPr>
      <w:rFonts w:ascii="Fira Sans" w:hAnsi="Fira Sans"/>
      <w:sz w:val="19"/>
    </w:rPr>
  </w:style>
  <w:style w:type="paragraph" w:styleId="Nagwekspisutreci">
    <w:name w:val="TOC Heading"/>
    <w:basedOn w:val="Nagwek1"/>
    <w:next w:val="Normalny"/>
    <w:uiPriority w:val="39"/>
    <w:semiHidden/>
    <w:unhideWhenUsed/>
    <w:qFormat/>
    <w:rsid w:val="000A5604"/>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0A5604"/>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0A5604"/>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0A5604"/>
    <w:rPr>
      <w:rFonts w:asciiTheme="majorHAnsi" w:eastAsiaTheme="majorEastAsia" w:hAnsiTheme="majorHAnsi" w:cstheme="majorBidi"/>
      <w:b/>
      <w:bCs/>
      <w:sz w:val="24"/>
      <w:szCs w:val="24"/>
    </w:rPr>
  </w:style>
  <w:style w:type="paragraph" w:styleId="NormalnyWeb">
    <w:name w:val="Normal (Web)"/>
    <w:basedOn w:val="Normalny"/>
    <w:uiPriority w:val="99"/>
    <w:semiHidden/>
    <w:unhideWhenUsed/>
    <w:rsid w:val="000A5604"/>
    <w:rPr>
      <w:rFonts w:ascii="Times New Roman" w:hAnsi="Times New Roman" w:cs="Times New Roman"/>
      <w:sz w:val="24"/>
      <w:szCs w:val="24"/>
    </w:rPr>
  </w:style>
  <w:style w:type="paragraph" w:styleId="Podpis">
    <w:name w:val="Signature"/>
    <w:basedOn w:val="Normalny"/>
    <w:link w:val="PodpisZnak"/>
    <w:uiPriority w:val="99"/>
    <w:semiHidden/>
    <w:unhideWhenUsed/>
    <w:rsid w:val="000A5604"/>
    <w:pPr>
      <w:spacing w:before="0" w:after="0" w:line="240" w:lineRule="auto"/>
      <w:ind w:left="4252"/>
    </w:pPr>
  </w:style>
  <w:style w:type="character" w:customStyle="1" w:styleId="PodpisZnak">
    <w:name w:val="Podpis Znak"/>
    <w:basedOn w:val="Domylnaczcionkaakapitu"/>
    <w:link w:val="Podpis"/>
    <w:uiPriority w:val="99"/>
    <w:semiHidden/>
    <w:rsid w:val="000A5604"/>
    <w:rPr>
      <w:rFonts w:ascii="Fira Sans" w:hAnsi="Fira Sans"/>
      <w:sz w:val="19"/>
    </w:rPr>
  </w:style>
  <w:style w:type="paragraph" w:styleId="Podpise-mail">
    <w:name w:val="E-mail Signature"/>
    <w:basedOn w:val="Normalny"/>
    <w:link w:val="Podpise-mailZnak"/>
    <w:uiPriority w:val="99"/>
    <w:semiHidden/>
    <w:unhideWhenUsed/>
    <w:rsid w:val="000A5604"/>
    <w:pPr>
      <w:spacing w:before="0" w:after="0" w:line="240" w:lineRule="auto"/>
    </w:pPr>
  </w:style>
  <w:style w:type="character" w:customStyle="1" w:styleId="Podpise-mailZnak">
    <w:name w:val="Podpis e-mail Znak"/>
    <w:basedOn w:val="Domylnaczcionkaakapitu"/>
    <w:link w:val="Podpise-mail"/>
    <w:uiPriority w:val="99"/>
    <w:semiHidden/>
    <w:rsid w:val="000A5604"/>
    <w:rPr>
      <w:rFonts w:ascii="Fira Sans" w:hAnsi="Fira Sans"/>
      <w:sz w:val="19"/>
    </w:rPr>
  </w:style>
  <w:style w:type="paragraph" w:styleId="Podtytu">
    <w:name w:val="Subtitle"/>
    <w:basedOn w:val="Normalny"/>
    <w:next w:val="Normalny"/>
    <w:link w:val="PodtytuZnak"/>
    <w:uiPriority w:val="11"/>
    <w:qFormat/>
    <w:rsid w:val="000A5604"/>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0A5604"/>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0A5604"/>
    <w:pPr>
      <w:spacing w:after="0"/>
    </w:pPr>
  </w:style>
  <w:style w:type="paragraph" w:styleId="Spistreci1">
    <w:name w:val="toc 1"/>
    <w:basedOn w:val="Normalny"/>
    <w:next w:val="Normalny"/>
    <w:autoRedefine/>
    <w:uiPriority w:val="39"/>
    <w:semiHidden/>
    <w:unhideWhenUsed/>
    <w:rsid w:val="000A5604"/>
    <w:pPr>
      <w:spacing w:after="100"/>
    </w:pPr>
  </w:style>
  <w:style w:type="paragraph" w:styleId="Spistreci2">
    <w:name w:val="toc 2"/>
    <w:basedOn w:val="Normalny"/>
    <w:next w:val="Normalny"/>
    <w:autoRedefine/>
    <w:uiPriority w:val="39"/>
    <w:semiHidden/>
    <w:unhideWhenUsed/>
    <w:rsid w:val="000A5604"/>
    <w:pPr>
      <w:spacing w:after="100"/>
      <w:ind w:left="190"/>
    </w:pPr>
  </w:style>
  <w:style w:type="paragraph" w:styleId="Spistreci3">
    <w:name w:val="toc 3"/>
    <w:basedOn w:val="Normalny"/>
    <w:next w:val="Normalny"/>
    <w:autoRedefine/>
    <w:uiPriority w:val="39"/>
    <w:semiHidden/>
    <w:unhideWhenUsed/>
    <w:rsid w:val="000A5604"/>
    <w:pPr>
      <w:spacing w:after="100"/>
      <w:ind w:left="380"/>
    </w:pPr>
  </w:style>
  <w:style w:type="paragraph" w:styleId="Spistreci4">
    <w:name w:val="toc 4"/>
    <w:basedOn w:val="Normalny"/>
    <w:next w:val="Normalny"/>
    <w:autoRedefine/>
    <w:uiPriority w:val="39"/>
    <w:semiHidden/>
    <w:unhideWhenUsed/>
    <w:rsid w:val="000A5604"/>
    <w:pPr>
      <w:spacing w:after="100"/>
      <w:ind w:left="570"/>
    </w:pPr>
  </w:style>
  <w:style w:type="paragraph" w:styleId="Spistreci5">
    <w:name w:val="toc 5"/>
    <w:basedOn w:val="Normalny"/>
    <w:next w:val="Normalny"/>
    <w:autoRedefine/>
    <w:uiPriority w:val="39"/>
    <w:semiHidden/>
    <w:unhideWhenUsed/>
    <w:rsid w:val="000A5604"/>
    <w:pPr>
      <w:spacing w:after="100"/>
      <w:ind w:left="760"/>
    </w:pPr>
  </w:style>
  <w:style w:type="paragraph" w:styleId="Spistreci6">
    <w:name w:val="toc 6"/>
    <w:basedOn w:val="Normalny"/>
    <w:next w:val="Normalny"/>
    <w:autoRedefine/>
    <w:uiPriority w:val="39"/>
    <w:semiHidden/>
    <w:unhideWhenUsed/>
    <w:rsid w:val="000A5604"/>
    <w:pPr>
      <w:spacing w:after="100"/>
      <w:ind w:left="950"/>
    </w:pPr>
  </w:style>
  <w:style w:type="paragraph" w:styleId="Spistreci7">
    <w:name w:val="toc 7"/>
    <w:basedOn w:val="Normalny"/>
    <w:next w:val="Normalny"/>
    <w:autoRedefine/>
    <w:uiPriority w:val="39"/>
    <w:semiHidden/>
    <w:unhideWhenUsed/>
    <w:rsid w:val="000A5604"/>
    <w:pPr>
      <w:spacing w:after="100"/>
      <w:ind w:left="1140"/>
    </w:pPr>
  </w:style>
  <w:style w:type="paragraph" w:styleId="Spistreci8">
    <w:name w:val="toc 8"/>
    <w:basedOn w:val="Normalny"/>
    <w:next w:val="Normalny"/>
    <w:autoRedefine/>
    <w:uiPriority w:val="39"/>
    <w:semiHidden/>
    <w:unhideWhenUsed/>
    <w:rsid w:val="000A5604"/>
    <w:pPr>
      <w:spacing w:after="100"/>
      <w:ind w:left="1330"/>
    </w:pPr>
  </w:style>
  <w:style w:type="paragraph" w:styleId="Spistreci9">
    <w:name w:val="toc 9"/>
    <w:basedOn w:val="Normalny"/>
    <w:next w:val="Normalny"/>
    <w:autoRedefine/>
    <w:uiPriority w:val="39"/>
    <w:semiHidden/>
    <w:unhideWhenUsed/>
    <w:rsid w:val="000A5604"/>
    <w:pPr>
      <w:spacing w:after="100"/>
      <w:ind w:left="1520"/>
    </w:pPr>
  </w:style>
  <w:style w:type="paragraph" w:styleId="Tekstblokowy">
    <w:name w:val="Block Text"/>
    <w:basedOn w:val="Normalny"/>
    <w:uiPriority w:val="99"/>
    <w:semiHidden/>
    <w:unhideWhenUsed/>
    <w:rsid w:val="000A560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0A5604"/>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0A5604"/>
    <w:rPr>
      <w:rFonts w:ascii="Consolas" w:hAnsi="Consolas"/>
      <w:sz w:val="20"/>
      <w:szCs w:val="20"/>
    </w:rPr>
  </w:style>
  <w:style w:type="paragraph" w:styleId="Tekstpodstawowy">
    <w:name w:val="Body Text"/>
    <w:basedOn w:val="Normalny"/>
    <w:link w:val="TekstpodstawowyZnak"/>
    <w:uiPriority w:val="99"/>
    <w:semiHidden/>
    <w:unhideWhenUsed/>
    <w:rsid w:val="000A5604"/>
  </w:style>
  <w:style w:type="character" w:customStyle="1" w:styleId="TekstpodstawowyZnak">
    <w:name w:val="Tekst podstawowy Znak"/>
    <w:basedOn w:val="Domylnaczcionkaakapitu"/>
    <w:link w:val="Tekstpodstawowy"/>
    <w:uiPriority w:val="99"/>
    <w:semiHidden/>
    <w:rsid w:val="000A5604"/>
    <w:rPr>
      <w:rFonts w:ascii="Fira Sans" w:hAnsi="Fira Sans"/>
      <w:sz w:val="19"/>
    </w:rPr>
  </w:style>
  <w:style w:type="paragraph" w:styleId="Tekstpodstawowy2">
    <w:name w:val="Body Text 2"/>
    <w:basedOn w:val="Normalny"/>
    <w:link w:val="Tekstpodstawowy2Znak"/>
    <w:uiPriority w:val="99"/>
    <w:semiHidden/>
    <w:unhideWhenUsed/>
    <w:rsid w:val="000A5604"/>
    <w:pPr>
      <w:spacing w:line="480" w:lineRule="auto"/>
    </w:pPr>
  </w:style>
  <w:style w:type="character" w:customStyle="1" w:styleId="Tekstpodstawowy2Znak">
    <w:name w:val="Tekst podstawowy 2 Znak"/>
    <w:basedOn w:val="Domylnaczcionkaakapitu"/>
    <w:link w:val="Tekstpodstawowy2"/>
    <w:uiPriority w:val="99"/>
    <w:semiHidden/>
    <w:rsid w:val="000A5604"/>
    <w:rPr>
      <w:rFonts w:ascii="Fira Sans" w:hAnsi="Fira Sans"/>
      <w:sz w:val="19"/>
    </w:rPr>
  </w:style>
  <w:style w:type="paragraph" w:styleId="Tekstpodstawowy3">
    <w:name w:val="Body Text 3"/>
    <w:basedOn w:val="Normalny"/>
    <w:link w:val="Tekstpodstawowy3Znak"/>
    <w:uiPriority w:val="99"/>
    <w:semiHidden/>
    <w:unhideWhenUsed/>
    <w:rsid w:val="000A5604"/>
    <w:rPr>
      <w:sz w:val="16"/>
      <w:szCs w:val="16"/>
    </w:rPr>
  </w:style>
  <w:style w:type="character" w:customStyle="1" w:styleId="Tekstpodstawowy3Znak">
    <w:name w:val="Tekst podstawowy 3 Znak"/>
    <w:basedOn w:val="Domylnaczcionkaakapitu"/>
    <w:link w:val="Tekstpodstawowy3"/>
    <w:uiPriority w:val="99"/>
    <w:semiHidden/>
    <w:rsid w:val="000A5604"/>
    <w:rPr>
      <w:rFonts w:ascii="Fira Sans" w:hAnsi="Fira Sans"/>
      <w:sz w:val="16"/>
      <w:szCs w:val="16"/>
    </w:rPr>
  </w:style>
  <w:style w:type="paragraph" w:styleId="Tekstpodstawowywcity">
    <w:name w:val="Body Text Indent"/>
    <w:basedOn w:val="Normalny"/>
    <w:link w:val="TekstpodstawowywcityZnak"/>
    <w:uiPriority w:val="99"/>
    <w:semiHidden/>
    <w:unhideWhenUsed/>
    <w:rsid w:val="000A5604"/>
    <w:pPr>
      <w:ind w:left="283"/>
    </w:pPr>
  </w:style>
  <w:style w:type="character" w:customStyle="1" w:styleId="TekstpodstawowywcityZnak">
    <w:name w:val="Tekst podstawowy wcięty Znak"/>
    <w:basedOn w:val="Domylnaczcionkaakapitu"/>
    <w:link w:val="Tekstpodstawowywcity"/>
    <w:uiPriority w:val="99"/>
    <w:semiHidden/>
    <w:rsid w:val="000A5604"/>
    <w:rPr>
      <w:rFonts w:ascii="Fira Sans" w:hAnsi="Fira Sans"/>
      <w:sz w:val="19"/>
    </w:rPr>
  </w:style>
  <w:style w:type="paragraph" w:styleId="Tekstpodstawowywcity2">
    <w:name w:val="Body Text Indent 2"/>
    <w:basedOn w:val="Normalny"/>
    <w:link w:val="Tekstpodstawowywcity2Znak"/>
    <w:uiPriority w:val="99"/>
    <w:semiHidden/>
    <w:unhideWhenUsed/>
    <w:rsid w:val="000A5604"/>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0A5604"/>
    <w:rPr>
      <w:rFonts w:ascii="Fira Sans" w:hAnsi="Fira Sans"/>
      <w:sz w:val="19"/>
    </w:rPr>
  </w:style>
  <w:style w:type="paragraph" w:styleId="Tekstpodstawowywcity3">
    <w:name w:val="Body Text Indent 3"/>
    <w:basedOn w:val="Normalny"/>
    <w:link w:val="Tekstpodstawowywcity3Znak"/>
    <w:uiPriority w:val="99"/>
    <w:semiHidden/>
    <w:unhideWhenUsed/>
    <w:rsid w:val="000A5604"/>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0A5604"/>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0A5604"/>
    <w:pPr>
      <w:ind w:firstLine="360"/>
    </w:pPr>
  </w:style>
  <w:style w:type="character" w:customStyle="1" w:styleId="TekstpodstawowyzwciciemZnak">
    <w:name w:val="Tekst podstawowy z wcięciem Znak"/>
    <w:basedOn w:val="TekstpodstawowyZnak"/>
    <w:link w:val="Tekstpodstawowyzwciciem"/>
    <w:uiPriority w:val="99"/>
    <w:semiHidden/>
    <w:rsid w:val="000A56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0A5604"/>
    <w:pPr>
      <w:ind w:left="360" w:firstLine="360"/>
    </w:pPr>
  </w:style>
  <w:style w:type="character" w:customStyle="1" w:styleId="Tekstpodstawowyzwciciem2Znak">
    <w:name w:val="Tekst podstawowy z wcięciem 2 Znak"/>
    <w:basedOn w:val="TekstpodstawowywcityZnak"/>
    <w:link w:val="Tekstpodstawowyzwciciem2"/>
    <w:uiPriority w:val="99"/>
    <w:semiHidden/>
    <w:rsid w:val="000A5604"/>
    <w:rPr>
      <w:rFonts w:ascii="Fira Sans" w:hAnsi="Fira Sans"/>
      <w:sz w:val="19"/>
    </w:rPr>
  </w:style>
  <w:style w:type="paragraph" w:styleId="Tytu">
    <w:name w:val="Title"/>
    <w:basedOn w:val="Normalny"/>
    <w:next w:val="Normalny"/>
    <w:link w:val="TytuZnak"/>
    <w:uiPriority w:val="10"/>
    <w:qFormat/>
    <w:rsid w:val="000A560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A5604"/>
    <w:rPr>
      <w:rFonts w:asciiTheme="majorHAnsi" w:eastAsiaTheme="majorEastAsia" w:hAnsiTheme="majorHAnsi" w:cstheme="majorBidi"/>
      <w:spacing w:val="-10"/>
      <w:kern w:val="28"/>
      <w:sz w:val="56"/>
      <w:szCs w:val="56"/>
    </w:rPr>
  </w:style>
  <w:style w:type="paragraph" w:styleId="Wcicienormalne">
    <w:name w:val="Normal Indent"/>
    <w:basedOn w:val="Normalny"/>
    <w:uiPriority w:val="99"/>
    <w:semiHidden/>
    <w:unhideWhenUsed/>
    <w:rsid w:val="000A5604"/>
    <w:pPr>
      <w:ind w:left="708"/>
    </w:pPr>
  </w:style>
  <w:style w:type="paragraph" w:styleId="Wykazrde">
    <w:name w:val="table of authorities"/>
    <w:basedOn w:val="Normalny"/>
    <w:next w:val="Normalny"/>
    <w:uiPriority w:val="99"/>
    <w:semiHidden/>
    <w:unhideWhenUsed/>
    <w:rsid w:val="000A5604"/>
    <w:pPr>
      <w:spacing w:after="0"/>
      <w:ind w:left="190" w:hanging="190"/>
    </w:pPr>
  </w:style>
  <w:style w:type="paragraph" w:styleId="Zwrotgrzecznociowy">
    <w:name w:val="Salutation"/>
    <w:basedOn w:val="Normalny"/>
    <w:next w:val="Normalny"/>
    <w:link w:val="ZwrotgrzecznociowyZnak"/>
    <w:uiPriority w:val="99"/>
    <w:semiHidden/>
    <w:unhideWhenUsed/>
    <w:rsid w:val="000A5604"/>
  </w:style>
  <w:style w:type="character" w:customStyle="1" w:styleId="ZwrotgrzecznociowyZnak">
    <w:name w:val="Zwrot grzecznościowy Znak"/>
    <w:basedOn w:val="Domylnaczcionkaakapitu"/>
    <w:link w:val="Zwrotgrzecznociowy"/>
    <w:uiPriority w:val="99"/>
    <w:semiHidden/>
    <w:rsid w:val="000A5604"/>
    <w:rPr>
      <w:rFonts w:ascii="Fira Sans" w:hAnsi="Fira Sans"/>
      <w:sz w:val="19"/>
    </w:rPr>
  </w:style>
  <w:style w:type="paragraph" w:styleId="Zwrotpoegnalny">
    <w:name w:val="Closing"/>
    <w:basedOn w:val="Normalny"/>
    <w:link w:val="ZwrotpoegnalnyZnak"/>
    <w:uiPriority w:val="99"/>
    <w:semiHidden/>
    <w:unhideWhenUsed/>
    <w:rsid w:val="000A5604"/>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0A5604"/>
    <w:rPr>
      <w:rFonts w:ascii="Fira Sans" w:hAnsi="Fira Sans"/>
      <w:sz w:val="19"/>
    </w:rPr>
  </w:style>
  <w:style w:type="paragraph" w:styleId="Zwykytekst">
    <w:name w:val="Plain Text"/>
    <w:basedOn w:val="Normalny"/>
    <w:link w:val="ZwykytekstZnak"/>
    <w:uiPriority w:val="99"/>
    <w:semiHidden/>
    <w:unhideWhenUsed/>
    <w:rsid w:val="000A5604"/>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0A5604"/>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20748693">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5670984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09553833">
      <w:bodyDiv w:val="1"/>
      <w:marLeft w:val="0"/>
      <w:marRight w:val="0"/>
      <w:marTop w:val="0"/>
      <w:marBottom w:val="0"/>
      <w:divBdr>
        <w:top w:val="none" w:sz="0" w:space="0" w:color="auto"/>
        <w:left w:val="none" w:sz="0" w:space="0" w:color="auto"/>
        <w:bottom w:val="none" w:sz="0" w:space="0" w:color="auto"/>
        <w:right w:val="none" w:sz="0" w:space="0" w:color="auto"/>
      </w:divBdr>
    </w:div>
    <w:div w:id="1398242964">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9053167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s://twitter.com/Poznan_STAT" TargetMode="External"/><Relationship Id="rId39" Type="http://schemas.openxmlformats.org/officeDocument/2006/relationships/theme" Target="theme/theme1.xml"/><Relationship Id="rId21" Type="http://schemas.openxmlformats.org/officeDocument/2006/relationships/header" Target="header2.xml"/><Relationship Id="rId34" Type="http://schemas.openxmlformats.org/officeDocument/2006/relationships/hyperlink" Target="https://stat.gov.pl/metainformacje/slownik-pojec/pojecia-stosowane-w-statystyce-publicznej/202,pojecie.html" TargetMode="Externa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s://poznan.stat.gov.pl/" TargetMode="External"/><Relationship Id="rId33" Type="http://schemas.openxmlformats.org/officeDocument/2006/relationships/hyperlink" Target="https://stat.gov.pl/metainformacje/slownik-pojec/pojecia-stosowane-w-statystyce-publicznej/3917,pojecie.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hyperlink" Target="https://bdl.stat.gov.pl/bdl/start"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7.emf"/><Relationship Id="rId23" Type="http://schemas.openxmlformats.org/officeDocument/2006/relationships/hyperlink" Target="mailto:a.olbrot@stat.gov.pl" TargetMode="External"/><Relationship Id="rId28" Type="http://schemas.openxmlformats.org/officeDocument/2006/relationships/hyperlink" Target="https://www.facebook.com/UrzadStatystycznywPoznaniu/"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stat.gov.pl/spisy-powszechne/nsp-2021/nsp-2021-wyniki-wstepne/informacja-o-wynikach-narodowego-spisu-powszechnego-ludnosci-i-mieszkan-2021-na-poziomie-wojewodztw-powiatow-i-gmin,8,1.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emf"/><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hyperlink" Target="https://stat.gov.pl/spisy-powszechne/nsp-2021/nsp-2021-wyniki-wstepne/narodowy-spis-powszechny-ludnosci-i-mieszkan-2021-metodologia-i-organizacja-badania-,5,2.html" TargetMode="External"/><Relationship Id="rId35" Type="http://schemas.openxmlformats.org/officeDocument/2006/relationships/hyperlink" Target="https://stat.gov.pl/metainformacje/slownik-pojec/pojecia-stosowane-w-statystyce-publicznej/26,pojecie.htm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Wzór sygnalna_NSP_27092022 v.1092022.docx.docx</NazwaPliku>
    <Osoba xmlns="AD3641B4-23D9-4536-AF9E-7D0EADDEB824">STAT\WROBELKA</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www.w3.org/XML/1998/namespace"/>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http://schemas.microsoft.com/sharepoint/v3"/>
    <ds:schemaRef ds:uri="http://purl.org/dc/elements/1.1/"/>
    <ds:schemaRef ds:uri="http://purl.org/dc/terms/"/>
    <ds:schemaRef ds:uri="AD3641B4-23D9-4536-AF9E-7D0EADDEB824"/>
    <ds:schemaRef ds:uri="http://schemas.microsoft.com/office/2006/metadata/properties"/>
  </ds:schemaRefs>
</ds:datastoreItem>
</file>

<file path=customXml/itemProps2.xml><?xml version="1.0" encoding="utf-8"?>
<ds:datastoreItem xmlns:ds="http://schemas.openxmlformats.org/officeDocument/2006/customXml" ds:itemID="{60A9DF19-74E6-448B-8702-9F478A29F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62F2E7-6394-4EF1-8DC9-C0D925C75285}">
  <ds:schemaRefs>
    <ds:schemaRef ds:uri="http://www.w3.org/2001/XMLSchema"/>
    <ds:schemaRef ds:uri="http://www.zhaw.ch/AccessibilityAddIn"/>
  </ds:schemaRefs>
</ds:datastoreItem>
</file>

<file path=customXml/itemProps4.xml><?xml version="1.0" encoding="utf-8"?>
<ds:datastoreItem xmlns:ds="http://schemas.openxmlformats.org/officeDocument/2006/customXml" ds:itemID="{302C39CE-EEA1-4629-BB70-CA79BB2E4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11</Pages>
  <Words>3094</Words>
  <Characters>17871</Characters>
  <Application>Microsoft Office Word</Application>
  <DocSecurity>0</DocSecurity>
  <Lines>351</Lines>
  <Paragraphs>126</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20940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Zawistowska Beata</dc:creator>
  <cp:keywords/>
  <dc:description/>
  <cp:lastModifiedBy>Kowalka Ewa</cp:lastModifiedBy>
  <cp:revision>25</cp:revision>
  <cp:lastPrinted>2022-09-27T08:14:00Z</cp:lastPrinted>
  <dcterms:created xsi:type="dcterms:W3CDTF">2022-09-23T08:45:00Z</dcterms:created>
  <dcterms:modified xsi:type="dcterms:W3CDTF">2022-09-27T08:14:00Z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